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E4887" w14:textId="6F0FE4F9" w:rsidR="00E756FF" w:rsidRDefault="00E756FF" w:rsidP="00F51814">
      <w:pPr>
        <w:ind w:left="-567" w:right="-427"/>
        <w:rPr>
          <w:rFonts w:ascii="Times New Roman" w:hAnsi="Times New Roman" w:cs="Times New Roman"/>
          <w:sz w:val="28"/>
          <w:szCs w:val="28"/>
        </w:rPr>
      </w:pPr>
      <w:r w:rsidRPr="00E756FF">
        <w:rPr>
          <w:rFonts w:ascii="Times New Roman" w:hAnsi="Times New Roman" w:cs="Times New Roman"/>
          <w:sz w:val="28"/>
          <w:szCs w:val="28"/>
        </w:rPr>
        <w:t>O milênio escola dos profetas setembro 2021</w:t>
      </w:r>
    </w:p>
    <w:p w14:paraId="44724772" w14:textId="5B3DA1FC" w:rsidR="00705C4B" w:rsidRPr="00667883" w:rsidRDefault="00183244" w:rsidP="00741FD9">
      <w:pPr>
        <w:autoSpaceDE w:val="0"/>
        <w:autoSpaceDN w:val="0"/>
        <w:adjustRightInd w:val="0"/>
        <w:spacing w:after="0"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Introdução: </w:t>
      </w:r>
    </w:p>
    <w:p w14:paraId="101227F3" w14:textId="4DE4480A" w:rsidR="00836835" w:rsidRPr="00C22256" w:rsidRDefault="00836835" w:rsidP="00741FD9">
      <w:pPr>
        <w:autoSpaceDE w:val="0"/>
        <w:autoSpaceDN w:val="0"/>
        <w:adjustRightInd w:val="0"/>
        <w:spacing w:after="0" w:line="240" w:lineRule="auto"/>
        <w:ind w:left="-567" w:right="-568"/>
        <w:jc w:val="both"/>
        <w:rPr>
          <w:rFonts w:ascii="Times New Roman" w:hAnsi="Times New Roman" w:cs="Times New Roman"/>
          <w:color w:val="FF0000"/>
          <w:lang w:val="en-US"/>
        </w:rPr>
      </w:pPr>
      <w:r w:rsidRPr="00667883">
        <w:rPr>
          <w:rFonts w:ascii="Times New Roman" w:hAnsi="Times New Roman" w:cs="Times New Roman"/>
          <w:sz w:val="24"/>
          <w:szCs w:val="24"/>
        </w:rPr>
        <w:t>O termo “milênio” se tornou bastante popular, assim como outros termos usados no Apocalipse de João. Talvez haja uma espécie de sensação global de que o fim pode chegar, e até mesmo estar próximo, e que um redentor é necessário para controlar o que parece ter se tornado incontrolável. Vários romances, filmes, álbuns de música, jogos de computador, empresas e outras organizações contêm o termo “milênio”. Podemos nos lembrar do exagero sobre o </w:t>
      </w:r>
      <w:r w:rsidRPr="00667883">
        <w:rPr>
          <w:rFonts w:ascii="Times New Roman" w:hAnsi="Times New Roman" w:cs="Times New Roman"/>
          <w:i/>
          <w:iCs/>
          <w:sz w:val="24"/>
          <w:szCs w:val="24"/>
        </w:rPr>
        <w:t>bug</w:t>
      </w:r>
      <w:r w:rsidRPr="00667883">
        <w:rPr>
          <w:rFonts w:ascii="Times New Roman" w:hAnsi="Times New Roman" w:cs="Times New Roman"/>
          <w:sz w:val="24"/>
          <w:szCs w:val="24"/>
        </w:rPr>
        <w:t> do milênio nos softwares de computador no final dos anos noventa. Eventos e lugares também se relacionam com o milênio: por exemplo, Parques do Milênio em várias cidades. O milênio também desempenha um papel importante no cristianismo. Esse tema faz parte das crenças Fundamentais dos Adventistas do Sétimo Dia em quase todo</w:t>
      </w:r>
      <w:r w:rsidR="000668E7" w:rsidRPr="00667883">
        <w:rPr>
          <w:rFonts w:ascii="Times New Roman" w:hAnsi="Times New Roman" w:cs="Times New Roman"/>
          <w:sz w:val="24"/>
          <w:szCs w:val="24"/>
        </w:rPr>
        <w:t>s</w:t>
      </w:r>
      <w:r w:rsidRPr="00667883">
        <w:rPr>
          <w:rFonts w:ascii="Times New Roman" w:hAnsi="Times New Roman" w:cs="Times New Roman"/>
          <w:sz w:val="24"/>
          <w:szCs w:val="24"/>
        </w:rPr>
        <w:t xml:space="preserve"> os seguimentos.</w:t>
      </w:r>
      <w:bookmarkStart w:id="0" w:name="sdfootnote1anc"/>
      <w:r w:rsidR="006654CE">
        <w:rPr>
          <w:rFonts w:ascii="Times New Roman" w:hAnsi="Times New Roman" w:cs="Times New Roman"/>
          <w:sz w:val="24"/>
          <w:szCs w:val="24"/>
        </w:rPr>
        <w:t xml:space="preserve"> </w:t>
      </w:r>
      <w:r w:rsidR="006654CE" w:rsidRPr="006654CE">
        <w:rPr>
          <w:rFonts w:ascii="Times New Roman" w:hAnsi="Times New Roman" w:cs="Times New Roman"/>
          <w:color w:val="FF0000"/>
          <w:sz w:val="24"/>
          <w:szCs w:val="24"/>
        </w:rPr>
        <w:t>[</w:t>
      </w:r>
      <w:hyperlink r:id="rId7" w:anchor="sdfootnote1sym" w:history="1">
        <w:r w:rsidRPr="006654CE">
          <w:rPr>
            <w:rStyle w:val="Hyperlink"/>
            <w:rFonts w:ascii="Times New Roman" w:hAnsi="Times New Roman" w:cs="Times New Roman"/>
            <w:color w:val="FF0000"/>
            <w:sz w:val="24"/>
            <w:szCs w:val="24"/>
            <w:vertAlign w:val="superscript"/>
          </w:rPr>
          <w:t>1</w:t>
        </w:r>
      </w:hyperlink>
      <w:bookmarkEnd w:id="0"/>
      <w:r w:rsidR="006654CE" w:rsidRPr="006654CE">
        <w:rPr>
          <w:rFonts w:ascii="Times New Roman" w:hAnsi="Times New Roman" w:cs="Times New Roman"/>
          <w:color w:val="FF0000"/>
          <w:sz w:val="24"/>
          <w:szCs w:val="24"/>
        </w:rPr>
        <w:t>]</w:t>
      </w:r>
      <w:r w:rsidRPr="006654CE">
        <w:rPr>
          <w:rFonts w:ascii="Times New Roman" w:hAnsi="Times New Roman" w:cs="Times New Roman"/>
          <w:color w:val="FF0000"/>
          <w:sz w:val="24"/>
          <w:szCs w:val="24"/>
        </w:rPr>
        <w:t xml:space="preserve"> </w:t>
      </w:r>
    </w:p>
    <w:p w14:paraId="4E2798A6" w14:textId="77777777" w:rsidR="00C22256" w:rsidRPr="00C22256" w:rsidRDefault="00C22256" w:rsidP="00741FD9">
      <w:pPr>
        <w:autoSpaceDE w:val="0"/>
        <w:autoSpaceDN w:val="0"/>
        <w:adjustRightInd w:val="0"/>
        <w:spacing w:after="0" w:line="240" w:lineRule="auto"/>
        <w:ind w:left="-567" w:right="-568"/>
        <w:jc w:val="both"/>
        <w:rPr>
          <w:rFonts w:ascii="Times New Roman" w:hAnsi="Times New Roman" w:cs="Times New Roman"/>
          <w:color w:val="FF0000"/>
        </w:rPr>
      </w:pPr>
    </w:p>
    <w:p w14:paraId="0CCC1015" w14:textId="77777777" w:rsidR="006654CE" w:rsidRDefault="00E756FF" w:rsidP="00741FD9">
      <w:pPr>
        <w:autoSpaceDE w:val="0"/>
        <w:autoSpaceDN w:val="0"/>
        <w:adjustRightInd w:val="0"/>
        <w:spacing w:after="0" w:line="240" w:lineRule="auto"/>
        <w:ind w:left="-567" w:right="-568"/>
        <w:jc w:val="both"/>
        <w:rPr>
          <w:rFonts w:ascii="Times New Roman" w:hAnsi="Times New Roman" w:cs="Times New Roman"/>
          <w:i/>
          <w:iCs/>
          <w:sz w:val="24"/>
          <w:szCs w:val="24"/>
        </w:rPr>
      </w:pPr>
      <w:r w:rsidRPr="00667883">
        <w:rPr>
          <w:rFonts w:ascii="Times New Roman" w:hAnsi="Times New Roman" w:cs="Times New Roman"/>
          <w:sz w:val="24"/>
          <w:szCs w:val="24"/>
        </w:rPr>
        <w:t>A palavra</w:t>
      </w:r>
      <w:r w:rsidR="00E245E0" w:rsidRPr="00667883">
        <w:rPr>
          <w:rFonts w:ascii="Times New Roman" w:hAnsi="Times New Roman" w:cs="Times New Roman"/>
          <w:sz w:val="24"/>
          <w:szCs w:val="24"/>
        </w:rPr>
        <w:t> </w:t>
      </w:r>
      <w:r w:rsidR="00E245E0" w:rsidRPr="00667883">
        <w:rPr>
          <w:rFonts w:ascii="Times New Roman" w:hAnsi="Times New Roman" w:cs="Times New Roman"/>
          <w:i/>
          <w:iCs/>
          <w:sz w:val="24"/>
          <w:szCs w:val="24"/>
        </w:rPr>
        <w:t>millennium</w:t>
      </w:r>
      <w:r w:rsidR="00E245E0" w:rsidRPr="00667883">
        <w:rPr>
          <w:rFonts w:ascii="Times New Roman" w:hAnsi="Times New Roman" w:cs="Times New Roman"/>
          <w:sz w:val="24"/>
          <w:szCs w:val="24"/>
        </w:rPr>
        <w:t> vem do latim </w:t>
      </w:r>
      <w:r w:rsidR="00E245E0" w:rsidRPr="00667883">
        <w:rPr>
          <w:rFonts w:ascii="Times New Roman" w:hAnsi="Times New Roman" w:cs="Times New Roman"/>
          <w:i/>
          <w:iCs/>
          <w:sz w:val="24"/>
          <w:szCs w:val="24"/>
        </w:rPr>
        <w:t>mille</w:t>
      </w:r>
      <w:r w:rsidR="00E245E0" w:rsidRPr="00667883">
        <w:rPr>
          <w:rFonts w:ascii="Times New Roman" w:hAnsi="Times New Roman" w:cs="Times New Roman"/>
          <w:sz w:val="24"/>
          <w:szCs w:val="24"/>
        </w:rPr>
        <w:t> e </w:t>
      </w:r>
      <w:r w:rsidR="00E245E0" w:rsidRPr="00667883">
        <w:rPr>
          <w:rFonts w:ascii="Times New Roman" w:hAnsi="Times New Roman" w:cs="Times New Roman"/>
          <w:i/>
          <w:iCs/>
          <w:sz w:val="24"/>
          <w:szCs w:val="24"/>
        </w:rPr>
        <w:t>annus</w:t>
      </w:r>
      <w:r w:rsidR="00E245E0" w:rsidRPr="00667883">
        <w:rPr>
          <w:rFonts w:ascii="Times New Roman" w:hAnsi="Times New Roman" w:cs="Times New Roman"/>
          <w:sz w:val="24"/>
          <w:szCs w:val="24"/>
        </w:rPr>
        <w:t> que significa mil anos.</w:t>
      </w:r>
      <w:r w:rsidR="00791C3F" w:rsidRPr="00667883">
        <w:rPr>
          <w:rFonts w:ascii="Times New Roman" w:hAnsi="Times New Roman" w:cs="Times New Roman"/>
          <w:sz w:val="24"/>
          <w:szCs w:val="24"/>
        </w:rPr>
        <w:t xml:space="preserve"> </w:t>
      </w:r>
      <w:r w:rsidRPr="00667883">
        <w:rPr>
          <w:rFonts w:ascii="Times New Roman" w:hAnsi="Times New Roman" w:cs="Times New Roman"/>
          <w:sz w:val="24"/>
          <w:szCs w:val="24"/>
        </w:rPr>
        <w:t>e relaciona-se com a declaração em Apocalipse</w:t>
      </w:r>
      <w:r w:rsidR="001C7BD9" w:rsidRPr="00667883">
        <w:rPr>
          <w:rFonts w:ascii="Times New Roman" w:hAnsi="Times New Roman" w:cs="Times New Roman"/>
          <w:sz w:val="24"/>
          <w:szCs w:val="24"/>
        </w:rPr>
        <w:t xml:space="preserve"> capitulo 20</w:t>
      </w:r>
      <w:r w:rsidR="00E245E0" w:rsidRPr="00667883">
        <w:rPr>
          <w:rFonts w:ascii="Times New Roman" w:hAnsi="Times New Roman" w:cs="Times New Roman"/>
          <w:i/>
          <w:iCs/>
          <w:sz w:val="24"/>
          <w:szCs w:val="24"/>
        </w:rPr>
        <w:t>.</w:t>
      </w:r>
    </w:p>
    <w:p w14:paraId="4627B742" w14:textId="6D28077B" w:rsidR="00E245E0" w:rsidRDefault="006654CE" w:rsidP="00741FD9">
      <w:pPr>
        <w:autoSpaceDE w:val="0"/>
        <w:autoSpaceDN w:val="0"/>
        <w:adjustRightInd w:val="0"/>
        <w:spacing w:after="0" w:line="240" w:lineRule="auto"/>
        <w:ind w:left="-567" w:right="-568"/>
        <w:jc w:val="both"/>
        <w:rPr>
          <w:rFonts w:ascii="Times New Roman" w:hAnsi="Times New Roman" w:cs="Times New Roman"/>
          <w:i/>
          <w:iCs/>
          <w:sz w:val="24"/>
          <w:szCs w:val="24"/>
        </w:rPr>
      </w:pPr>
      <w:r>
        <w:rPr>
          <w:rFonts w:ascii="Times New Roman" w:hAnsi="Times New Roman" w:cs="Times New Roman"/>
          <w:sz w:val="24"/>
          <w:szCs w:val="24"/>
        </w:rPr>
        <w:t>Apocalipse 20: 1 – 9.</w:t>
      </w:r>
      <w:r w:rsidR="00E245E0" w:rsidRPr="00667883">
        <w:rPr>
          <w:rFonts w:ascii="Times New Roman" w:hAnsi="Times New Roman" w:cs="Times New Roman"/>
          <w:i/>
          <w:iCs/>
          <w:sz w:val="24"/>
          <w:szCs w:val="24"/>
        </w:rPr>
        <w:t xml:space="preserve">   1E vi descer do céu um anjo, que tinha a chave do abismo, e uma grande cadeia na sua mão. 2Ele prendeu o dragão, a antiga serpente, que é o Diabo e Satanás, e amarrou-o por mil anos. 3E lançou-o no abismo, e ali o encerrou, e pôs selo sobre ele, para que não mais engane as nações, até que os mil anos se acabem. E depois importa que seja solto por um pouco de tempo. 4E vi tronos; e assentaram-se sobre eles, e foi-lhes dado o poder de julgar; e vi as almas daqueles que foram degolados pelo testemunho de Jesus, e pela palavra de Deus, e que não adoraram a besta, nem a sua imagem, e não receberam o sinal em suas testas nem em suas mãos; e viveram, e reinaram com Cristo durante mil anos. 5Mas os outros mortos não reviveram, até que os mil anos se acabaram. Esta é a primeira ressurreição. 6Bem-aventurado e santo aquele que tem parte na primeira ressurreição; sobre estes não tem poder a segunda morte; mas serão sacerdotes de Deus e de Cristo, e reinarão com ele mil anos. 7E, acabando-se os mil anos, Satanás será solto da sua prisão, 8E sairá a enganar as nações que estão sobre os quatro cantos da terra, Gogue e Magogue, cujo número é como a areia do mar, para as ajuntar em batalha. 9E subiram sobre a largura da terra, e cercaram o arraial dos santos e a cidade amada; e de Deus desceu fogo, do céu, e os devorou.</w:t>
      </w:r>
    </w:p>
    <w:p w14:paraId="67F89653" w14:textId="77777777" w:rsidR="00C22256" w:rsidRPr="00667883" w:rsidRDefault="00C22256" w:rsidP="00741FD9">
      <w:pPr>
        <w:autoSpaceDE w:val="0"/>
        <w:autoSpaceDN w:val="0"/>
        <w:adjustRightInd w:val="0"/>
        <w:spacing w:after="0" w:line="240" w:lineRule="auto"/>
        <w:ind w:left="-567" w:right="-568"/>
        <w:jc w:val="both"/>
        <w:rPr>
          <w:rFonts w:ascii="Times New Roman" w:hAnsi="Times New Roman" w:cs="Times New Roman"/>
          <w:i/>
          <w:iCs/>
          <w:sz w:val="24"/>
          <w:szCs w:val="24"/>
        </w:rPr>
      </w:pPr>
    </w:p>
    <w:p w14:paraId="0434A408" w14:textId="5FA9B311" w:rsidR="00E245E0" w:rsidRPr="00667883" w:rsidRDefault="00E756FF" w:rsidP="00741FD9">
      <w:pPr>
        <w:autoSpaceDE w:val="0"/>
        <w:autoSpaceDN w:val="0"/>
        <w:adjustRightInd w:val="0"/>
        <w:spacing w:after="0"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 </w:t>
      </w:r>
      <w:r w:rsidR="00161A1F" w:rsidRPr="00667883">
        <w:rPr>
          <w:rFonts w:ascii="Times New Roman" w:hAnsi="Times New Roman" w:cs="Times New Roman"/>
          <w:sz w:val="24"/>
          <w:szCs w:val="24"/>
        </w:rPr>
        <w:t xml:space="preserve">O milênio ou Apocalipse 20 é o assunto e </w:t>
      </w:r>
      <w:r w:rsidR="00895EBC" w:rsidRPr="00667883">
        <w:rPr>
          <w:rFonts w:ascii="Times New Roman" w:hAnsi="Times New Roman" w:cs="Times New Roman"/>
          <w:sz w:val="24"/>
          <w:szCs w:val="24"/>
        </w:rPr>
        <w:t>texto mais</w:t>
      </w:r>
      <w:r w:rsidR="00866813" w:rsidRPr="00667883">
        <w:rPr>
          <w:rFonts w:ascii="Times New Roman" w:hAnsi="Times New Roman" w:cs="Times New Roman"/>
          <w:sz w:val="24"/>
          <w:szCs w:val="24"/>
        </w:rPr>
        <w:t xml:space="preserve"> debatido </w:t>
      </w:r>
      <w:r w:rsidR="00161A1F" w:rsidRPr="00667883">
        <w:rPr>
          <w:rFonts w:ascii="Times New Roman" w:hAnsi="Times New Roman" w:cs="Times New Roman"/>
          <w:sz w:val="24"/>
          <w:szCs w:val="24"/>
        </w:rPr>
        <w:t>desse livro</w:t>
      </w:r>
      <w:r w:rsidR="00866813" w:rsidRPr="00667883">
        <w:rPr>
          <w:rFonts w:ascii="Times New Roman" w:hAnsi="Times New Roman" w:cs="Times New Roman"/>
          <w:sz w:val="24"/>
          <w:szCs w:val="24"/>
        </w:rPr>
        <w:t>. É, de fato, um dos</w:t>
      </w:r>
      <w:r w:rsidR="00895EBC" w:rsidRPr="00667883">
        <w:rPr>
          <w:rFonts w:ascii="Times New Roman" w:hAnsi="Times New Roman" w:cs="Times New Roman"/>
          <w:sz w:val="24"/>
          <w:szCs w:val="24"/>
        </w:rPr>
        <w:t xml:space="preserve"> assuntos</w:t>
      </w:r>
      <w:r w:rsidR="00866813" w:rsidRPr="00667883">
        <w:rPr>
          <w:rFonts w:ascii="Times New Roman" w:hAnsi="Times New Roman" w:cs="Times New Roman"/>
          <w:sz w:val="24"/>
          <w:szCs w:val="24"/>
        </w:rPr>
        <w:t xml:space="preserve"> mais disputados de toda a Bíblia.</w:t>
      </w:r>
    </w:p>
    <w:p w14:paraId="0C4779C2" w14:textId="77777777" w:rsidR="003C4DC2" w:rsidRPr="00667883" w:rsidRDefault="003C4DC2" w:rsidP="00741FD9">
      <w:pPr>
        <w:autoSpaceDE w:val="0"/>
        <w:autoSpaceDN w:val="0"/>
        <w:adjustRightInd w:val="0"/>
        <w:spacing w:after="0" w:line="240" w:lineRule="auto"/>
        <w:ind w:left="-567" w:right="-568"/>
        <w:jc w:val="both"/>
        <w:rPr>
          <w:rFonts w:ascii="Times New Roman" w:hAnsi="Times New Roman" w:cs="Times New Roman"/>
          <w:sz w:val="24"/>
          <w:szCs w:val="24"/>
        </w:rPr>
      </w:pPr>
    </w:p>
    <w:p w14:paraId="4C158D02" w14:textId="5A109566" w:rsidR="00094974" w:rsidRPr="00667883" w:rsidRDefault="008B6E37" w:rsidP="00741FD9">
      <w:pPr>
        <w:shd w:val="clear" w:color="auto" w:fill="FFFFFF"/>
        <w:spacing w:after="100" w:afterAutospacing="1" w:line="240" w:lineRule="auto"/>
        <w:ind w:left="-567" w:right="-568"/>
        <w:jc w:val="both"/>
        <w:rPr>
          <w:rFonts w:ascii="Times New Roman" w:eastAsia="Times New Roman" w:hAnsi="Times New Roman" w:cs="Times New Roman"/>
          <w:b/>
          <w:bCs/>
          <w:sz w:val="24"/>
          <w:szCs w:val="24"/>
          <w:lang w:eastAsia="pt-BR"/>
        </w:rPr>
      </w:pPr>
      <w:r w:rsidRPr="00667883">
        <w:rPr>
          <w:rFonts w:ascii="Times New Roman" w:eastAsia="Times New Roman" w:hAnsi="Times New Roman" w:cs="Times New Roman"/>
          <w:b/>
          <w:bCs/>
          <w:sz w:val="24"/>
          <w:szCs w:val="24"/>
          <w:lang w:eastAsia="pt-BR"/>
        </w:rPr>
        <w:t>AS 4 POSSÍVEIS E PRINCIPAIS INTERPRETAÇÕES DO “MILÊNIO” DE APOCALIPSE 20.</w:t>
      </w:r>
    </w:p>
    <w:p w14:paraId="06A8BDF7" w14:textId="069A6C20" w:rsidR="00895EBC" w:rsidRPr="00807920" w:rsidRDefault="00CD6BD9" w:rsidP="00741FD9">
      <w:pPr>
        <w:shd w:val="clear" w:color="auto" w:fill="FFFFFF"/>
        <w:spacing w:after="0" w:line="240" w:lineRule="auto"/>
        <w:ind w:left="-567" w:right="-568"/>
        <w:jc w:val="both"/>
        <w:rPr>
          <w:rFonts w:ascii="Times New Roman" w:eastAsia="Times New Roman" w:hAnsi="Times New Roman" w:cs="Times New Roman"/>
          <w:b/>
          <w:bCs/>
          <w:sz w:val="24"/>
          <w:szCs w:val="24"/>
          <w:lang w:eastAsia="pt-BR"/>
        </w:rPr>
      </w:pPr>
      <w:r w:rsidRPr="00807920">
        <w:rPr>
          <w:rFonts w:ascii="Times New Roman" w:eastAsia="Times New Roman" w:hAnsi="Times New Roman" w:cs="Times New Roman"/>
          <w:b/>
          <w:bCs/>
          <w:sz w:val="24"/>
          <w:szCs w:val="24"/>
          <w:lang w:eastAsia="pt-BR"/>
        </w:rPr>
        <w:t xml:space="preserve"> </w:t>
      </w:r>
      <w:r w:rsidR="008B6E37" w:rsidRPr="00807920">
        <w:rPr>
          <w:rFonts w:ascii="Times New Roman" w:eastAsia="Times New Roman" w:hAnsi="Times New Roman" w:cs="Times New Roman"/>
          <w:b/>
          <w:bCs/>
          <w:sz w:val="24"/>
          <w:szCs w:val="24"/>
          <w:lang w:eastAsia="pt-BR"/>
        </w:rPr>
        <w:t xml:space="preserve">Quiliasmo, </w:t>
      </w:r>
      <w:proofErr w:type="spellStart"/>
      <w:r w:rsidR="008B6E37" w:rsidRPr="00807920">
        <w:rPr>
          <w:rFonts w:ascii="Times New Roman" w:eastAsia="Times New Roman" w:hAnsi="Times New Roman" w:cs="Times New Roman"/>
          <w:b/>
          <w:bCs/>
          <w:sz w:val="24"/>
          <w:szCs w:val="24"/>
          <w:lang w:eastAsia="pt-BR"/>
        </w:rPr>
        <w:t>Pré</w:t>
      </w:r>
      <w:r w:rsidR="00895EBC" w:rsidRPr="00807920">
        <w:rPr>
          <w:rFonts w:ascii="Times New Roman" w:eastAsia="Times New Roman" w:hAnsi="Times New Roman" w:cs="Times New Roman"/>
          <w:b/>
          <w:bCs/>
          <w:sz w:val="24"/>
          <w:szCs w:val="24"/>
          <w:lang w:eastAsia="pt-BR"/>
        </w:rPr>
        <w:t>-</w:t>
      </w:r>
      <w:r w:rsidR="008B6E37" w:rsidRPr="00807920">
        <w:rPr>
          <w:rFonts w:ascii="Times New Roman" w:eastAsia="Times New Roman" w:hAnsi="Times New Roman" w:cs="Times New Roman"/>
          <w:b/>
          <w:bCs/>
          <w:sz w:val="24"/>
          <w:szCs w:val="24"/>
          <w:lang w:eastAsia="pt-BR"/>
        </w:rPr>
        <w:t>Milenismo</w:t>
      </w:r>
      <w:proofErr w:type="spellEnd"/>
      <w:r w:rsidR="008B6E37" w:rsidRPr="00807920">
        <w:rPr>
          <w:rFonts w:ascii="Times New Roman" w:eastAsia="Times New Roman" w:hAnsi="Times New Roman" w:cs="Times New Roman"/>
          <w:b/>
          <w:bCs/>
          <w:sz w:val="24"/>
          <w:szCs w:val="24"/>
          <w:lang w:eastAsia="pt-BR"/>
        </w:rPr>
        <w:t xml:space="preserve">, </w:t>
      </w:r>
      <w:r w:rsidR="008B6E37" w:rsidRPr="001F6E66">
        <w:rPr>
          <w:rFonts w:ascii="Times New Roman" w:eastAsia="Times New Roman" w:hAnsi="Times New Roman" w:cs="Times New Roman"/>
          <w:b/>
          <w:bCs/>
          <w:color w:val="C00000"/>
          <w:sz w:val="24"/>
          <w:szCs w:val="24"/>
          <w:lang w:eastAsia="pt-BR"/>
        </w:rPr>
        <w:t>P</w:t>
      </w:r>
      <w:r w:rsidR="001F6E66">
        <w:rPr>
          <w:rFonts w:ascii="Times New Roman" w:eastAsia="Times New Roman" w:hAnsi="Times New Roman" w:cs="Times New Roman"/>
          <w:b/>
          <w:bCs/>
          <w:color w:val="C00000"/>
          <w:sz w:val="24"/>
          <w:szCs w:val="24"/>
          <w:lang w:eastAsia="pt-BR"/>
        </w:rPr>
        <w:t>ós</w:t>
      </w:r>
      <w:r w:rsidR="00895EBC" w:rsidRPr="001F6E66">
        <w:rPr>
          <w:rFonts w:ascii="Times New Roman" w:eastAsia="Times New Roman" w:hAnsi="Times New Roman" w:cs="Times New Roman"/>
          <w:b/>
          <w:bCs/>
          <w:color w:val="C00000"/>
          <w:sz w:val="24"/>
          <w:szCs w:val="24"/>
          <w:lang w:eastAsia="pt-BR"/>
        </w:rPr>
        <w:t>-</w:t>
      </w:r>
      <w:proofErr w:type="spellStart"/>
      <w:r w:rsidR="008B6E37" w:rsidRPr="001F6E66">
        <w:rPr>
          <w:rFonts w:ascii="Times New Roman" w:eastAsia="Times New Roman" w:hAnsi="Times New Roman" w:cs="Times New Roman"/>
          <w:b/>
          <w:bCs/>
          <w:color w:val="C00000"/>
          <w:sz w:val="24"/>
          <w:szCs w:val="24"/>
          <w:lang w:eastAsia="pt-BR"/>
        </w:rPr>
        <w:t>Milenismo</w:t>
      </w:r>
      <w:proofErr w:type="spellEnd"/>
      <w:r w:rsidR="008B6E37" w:rsidRPr="00807920">
        <w:rPr>
          <w:rFonts w:ascii="Times New Roman" w:eastAsia="Times New Roman" w:hAnsi="Times New Roman" w:cs="Times New Roman"/>
          <w:b/>
          <w:bCs/>
          <w:sz w:val="24"/>
          <w:szCs w:val="24"/>
          <w:lang w:eastAsia="pt-BR"/>
        </w:rPr>
        <w:t xml:space="preserve">, </w:t>
      </w:r>
      <w:proofErr w:type="spellStart"/>
      <w:r w:rsidR="008B6E37" w:rsidRPr="00807920">
        <w:rPr>
          <w:rFonts w:ascii="Times New Roman" w:eastAsia="Times New Roman" w:hAnsi="Times New Roman" w:cs="Times New Roman"/>
          <w:b/>
          <w:bCs/>
          <w:sz w:val="24"/>
          <w:szCs w:val="24"/>
          <w:lang w:eastAsia="pt-BR"/>
        </w:rPr>
        <w:t>Amilenismo</w:t>
      </w:r>
      <w:proofErr w:type="spellEnd"/>
      <w:r w:rsidR="006654CE" w:rsidRPr="00807920">
        <w:rPr>
          <w:rFonts w:ascii="Times New Roman" w:eastAsia="Times New Roman" w:hAnsi="Times New Roman" w:cs="Times New Roman"/>
          <w:b/>
          <w:bCs/>
          <w:sz w:val="24"/>
          <w:szCs w:val="24"/>
          <w:lang w:eastAsia="pt-BR"/>
        </w:rPr>
        <w:t>.</w:t>
      </w:r>
      <w:r w:rsidR="00895EBC" w:rsidRPr="00807920">
        <w:rPr>
          <w:rFonts w:ascii="Times New Roman" w:eastAsia="Times New Roman" w:hAnsi="Times New Roman" w:cs="Times New Roman"/>
          <w:b/>
          <w:bCs/>
          <w:sz w:val="24"/>
          <w:szCs w:val="24"/>
          <w:lang w:eastAsia="pt-BR"/>
        </w:rPr>
        <w:t xml:space="preserve"> </w:t>
      </w:r>
    </w:p>
    <w:p w14:paraId="1BF9A04F" w14:textId="77777777" w:rsidR="00895EBC" w:rsidRPr="00667883" w:rsidRDefault="00895EBC" w:rsidP="00741FD9">
      <w:pPr>
        <w:shd w:val="clear" w:color="auto" w:fill="FFFFFF"/>
        <w:spacing w:after="0" w:line="240" w:lineRule="auto"/>
        <w:ind w:left="-567" w:right="-568"/>
        <w:jc w:val="both"/>
        <w:rPr>
          <w:rFonts w:ascii="Times New Roman" w:eastAsia="Times New Roman" w:hAnsi="Times New Roman" w:cs="Times New Roman"/>
          <w:sz w:val="24"/>
          <w:szCs w:val="24"/>
          <w:lang w:eastAsia="pt-BR"/>
        </w:rPr>
      </w:pPr>
    </w:p>
    <w:p w14:paraId="14FBDE75" w14:textId="62926758" w:rsidR="006C74F1" w:rsidRPr="00C22256" w:rsidRDefault="00CD6BD9" w:rsidP="00741FD9">
      <w:pPr>
        <w:shd w:val="clear" w:color="auto" w:fill="FFFFFF"/>
        <w:spacing w:after="0" w:line="240" w:lineRule="auto"/>
        <w:ind w:left="-567" w:right="-568"/>
        <w:jc w:val="both"/>
        <w:rPr>
          <w:rFonts w:ascii="Times New Roman" w:eastAsia="Times New Roman" w:hAnsi="Times New Roman" w:cs="Times New Roman"/>
          <w:color w:val="FF0000"/>
          <w:u w:val="single"/>
          <w:bdr w:val="none" w:sz="0" w:space="0" w:color="auto" w:frame="1"/>
          <w:lang w:eastAsia="pt-BR"/>
        </w:rPr>
      </w:pPr>
      <w:r w:rsidRPr="00667883">
        <w:rPr>
          <w:rFonts w:ascii="Times New Roman" w:eastAsia="Times New Roman" w:hAnsi="Times New Roman" w:cs="Times New Roman"/>
          <w:b/>
          <w:bCs/>
          <w:sz w:val="24"/>
          <w:szCs w:val="24"/>
          <w:lang w:eastAsia="pt-BR"/>
        </w:rPr>
        <w:t>1.Quiliasmo.</w:t>
      </w:r>
      <w:r w:rsidRPr="00667883">
        <w:rPr>
          <w:rFonts w:ascii="Times New Roman" w:eastAsia="Times New Roman" w:hAnsi="Times New Roman" w:cs="Times New Roman"/>
          <w:sz w:val="24"/>
          <w:szCs w:val="24"/>
          <w:lang w:eastAsia="pt-BR"/>
        </w:rPr>
        <w:t xml:space="preserve"> Segundo o uso geral, quiliasmo é o ensino de que os santos reinarão com Cristo </w:t>
      </w:r>
      <w:r w:rsidRPr="00667883">
        <w:rPr>
          <w:rFonts w:ascii="Times New Roman" w:eastAsia="Times New Roman" w:hAnsi="Times New Roman" w:cs="Times New Roman"/>
          <w:i/>
          <w:iCs/>
          <w:sz w:val="24"/>
          <w:szCs w:val="24"/>
          <w:lang w:eastAsia="pt-BR"/>
        </w:rPr>
        <w:t xml:space="preserve">na Terra </w:t>
      </w:r>
      <w:r w:rsidRPr="00667883">
        <w:rPr>
          <w:rFonts w:ascii="Times New Roman" w:eastAsia="Times New Roman" w:hAnsi="Times New Roman" w:cs="Times New Roman"/>
          <w:sz w:val="24"/>
          <w:szCs w:val="24"/>
          <w:lang w:eastAsia="pt-BR"/>
        </w:rPr>
        <w:t>durante o milênio.</w:t>
      </w:r>
      <w:r w:rsidR="006C74F1" w:rsidRPr="00667883">
        <w:rPr>
          <w:rFonts w:ascii="Times New Roman" w:eastAsia="Times New Roman" w:hAnsi="Times New Roman" w:cs="Times New Roman"/>
          <w:sz w:val="24"/>
          <w:szCs w:val="24"/>
          <w:bdr w:val="none" w:sz="0" w:space="0" w:color="auto" w:frame="1"/>
          <w:lang w:eastAsia="pt-BR"/>
        </w:rPr>
        <w:t xml:space="preserve"> De acordo com essa visão, Jesus voltará visivelmente à terra e estabelecerá Seu reino, que durará mil anos. Após o período de mil anos, o fim chegará</w:t>
      </w:r>
      <w:r w:rsidR="009F37FF" w:rsidRPr="009F37FF">
        <w:rPr>
          <w:rFonts w:ascii="Times New Roman" w:eastAsia="Times New Roman" w:hAnsi="Times New Roman" w:cs="Times New Roman"/>
          <w:bdr w:val="none" w:sz="0" w:space="0" w:color="auto" w:frame="1"/>
          <w:lang w:eastAsia="pt-BR"/>
        </w:rPr>
        <w:t>.</w:t>
      </w:r>
      <w:r w:rsidR="00FE53EC">
        <w:rPr>
          <w:rFonts w:ascii="Times New Roman" w:eastAsia="Times New Roman" w:hAnsi="Times New Roman" w:cs="Times New Roman"/>
          <w:color w:val="FF0000"/>
          <w:bdr w:val="none" w:sz="0" w:space="0" w:color="auto" w:frame="1"/>
          <w:lang w:eastAsia="pt-BR"/>
        </w:rPr>
        <w:t xml:space="preserve"> [2]</w:t>
      </w:r>
    </w:p>
    <w:p w14:paraId="62992636" w14:textId="531A350E" w:rsidR="00D4497B" w:rsidRPr="00C22256" w:rsidRDefault="00CD6BD9" w:rsidP="00741FD9">
      <w:pPr>
        <w:pStyle w:val="PargrafodaLista"/>
        <w:shd w:val="clear" w:color="auto" w:fill="FFFFFF"/>
        <w:spacing w:after="0" w:line="240" w:lineRule="auto"/>
        <w:ind w:left="-567" w:right="-568"/>
        <w:jc w:val="both"/>
        <w:rPr>
          <w:rFonts w:ascii="Times New Roman" w:eastAsia="Times New Roman" w:hAnsi="Times New Roman" w:cs="Times New Roman"/>
          <w:b/>
          <w:bCs/>
          <w:color w:val="FF0000"/>
          <w:sz w:val="20"/>
          <w:szCs w:val="20"/>
          <w:lang w:eastAsia="pt-BR"/>
        </w:rPr>
      </w:pPr>
      <w:r w:rsidRPr="00667883">
        <w:rPr>
          <w:rFonts w:ascii="Times New Roman" w:eastAsia="Times New Roman" w:hAnsi="Times New Roman" w:cs="Times New Roman"/>
          <w:sz w:val="24"/>
          <w:szCs w:val="24"/>
          <w:lang w:eastAsia="pt-BR"/>
        </w:rPr>
        <w:t xml:space="preserve"> A identificação dos mil anos de Apocalipse 20 com várias profecias do Antigo Testamento sobre um reino literal na Terra (não uma expressa estipulação da Escritura) tem periodicamente trazido descrédito aos seus defensores, por causa das expectações materialistas e excessos que por vezes têm acompanhado esse conceito.</w:t>
      </w:r>
      <w:r w:rsidR="0074259F">
        <w:rPr>
          <w:rFonts w:ascii="Times New Roman" w:eastAsia="Times New Roman" w:hAnsi="Times New Roman" w:cs="Times New Roman"/>
          <w:sz w:val="24"/>
          <w:szCs w:val="24"/>
          <w:lang w:eastAsia="pt-BR"/>
        </w:rPr>
        <w:t xml:space="preserve"> {Quiliasmo} </w:t>
      </w:r>
      <w:r w:rsidR="00962160" w:rsidRPr="00667883">
        <w:rPr>
          <w:rFonts w:ascii="Times New Roman" w:eastAsia="Times New Roman" w:hAnsi="Times New Roman" w:cs="Times New Roman"/>
          <w:sz w:val="24"/>
          <w:szCs w:val="24"/>
          <w:bdr w:val="none" w:sz="0" w:space="0" w:color="auto" w:frame="1"/>
          <w:lang w:eastAsia="pt-BR"/>
        </w:rPr>
        <w:t xml:space="preserve">Doutrina segundo a qual os predestinados, depois do julgamento final, ficariam ainda mil anos na Terra, no gozo das maiores delícias. </w:t>
      </w:r>
      <w:r w:rsidR="00D4497B" w:rsidRPr="00D4497B">
        <w:rPr>
          <w:rFonts w:ascii="Times New Roman" w:eastAsia="Times New Roman" w:hAnsi="Times New Roman" w:cs="Times New Roman"/>
          <w:color w:val="FF0000"/>
          <w:sz w:val="24"/>
          <w:szCs w:val="24"/>
          <w:bdr w:val="none" w:sz="0" w:space="0" w:color="auto" w:frame="1"/>
          <w:lang w:eastAsia="pt-BR"/>
        </w:rPr>
        <w:t>[3]</w:t>
      </w:r>
      <w:r w:rsidR="00D4497B">
        <w:rPr>
          <w:rFonts w:ascii="Times New Roman" w:eastAsia="Times New Roman" w:hAnsi="Times New Roman" w:cs="Times New Roman"/>
          <w:color w:val="FF0000"/>
          <w:sz w:val="24"/>
          <w:szCs w:val="24"/>
          <w:bdr w:val="none" w:sz="0" w:space="0" w:color="auto" w:frame="1"/>
          <w:lang w:eastAsia="pt-BR"/>
        </w:rPr>
        <w:t xml:space="preserve"> </w:t>
      </w:r>
    </w:p>
    <w:p w14:paraId="4A72DCF7" w14:textId="3879AB5C" w:rsidR="00CD6BD9" w:rsidRPr="00667883" w:rsidRDefault="00CD6BD9" w:rsidP="00741FD9">
      <w:pPr>
        <w:pStyle w:val="PargrafodaLista"/>
        <w:shd w:val="clear" w:color="auto" w:fill="FFFFFF"/>
        <w:spacing w:after="100" w:afterAutospacing="1" w:line="240" w:lineRule="auto"/>
        <w:ind w:left="-567" w:right="-568"/>
        <w:jc w:val="both"/>
        <w:rPr>
          <w:rFonts w:ascii="Times New Roman" w:eastAsia="Times New Roman" w:hAnsi="Times New Roman" w:cs="Times New Roman"/>
          <w:sz w:val="24"/>
          <w:szCs w:val="24"/>
          <w:lang w:eastAsia="pt-BR"/>
        </w:rPr>
      </w:pPr>
      <w:r w:rsidRPr="00667883">
        <w:rPr>
          <w:rFonts w:ascii="Times New Roman" w:eastAsia="Times New Roman" w:hAnsi="Times New Roman" w:cs="Times New Roman"/>
          <w:b/>
          <w:bCs/>
          <w:sz w:val="24"/>
          <w:szCs w:val="24"/>
          <w:lang w:eastAsia="pt-BR"/>
        </w:rPr>
        <w:t>2. Pré-milenismo.</w:t>
      </w:r>
      <w:r w:rsidRPr="00667883">
        <w:rPr>
          <w:rFonts w:ascii="Times New Roman" w:eastAsia="Times New Roman" w:hAnsi="Times New Roman" w:cs="Times New Roman"/>
          <w:sz w:val="24"/>
          <w:szCs w:val="24"/>
          <w:lang w:eastAsia="pt-BR"/>
        </w:rPr>
        <w:t xml:space="preserve"> O pré-milenismo coloca a segunda vinda de Cristo e a primeira ressurreição como </w:t>
      </w:r>
      <w:r w:rsidRPr="00667883">
        <w:rPr>
          <w:rFonts w:ascii="Times New Roman" w:eastAsia="Times New Roman" w:hAnsi="Times New Roman" w:cs="Times New Roman"/>
          <w:i/>
          <w:iCs/>
          <w:sz w:val="24"/>
          <w:szCs w:val="24"/>
          <w:lang w:eastAsia="pt-BR"/>
        </w:rPr>
        <w:t xml:space="preserve">precedentes </w:t>
      </w:r>
      <w:r w:rsidRPr="00667883">
        <w:rPr>
          <w:rFonts w:ascii="Times New Roman" w:eastAsia="Times New Roman" w:hAnsi="Times New Roman" w:cs="Times New Roman"/>
          <w:sz w:val="24"/>
          <w:szCs w:val="24"/>
          <w:lang w:eastAsia="pt-BR"/>
        </w:rPr>
        <w:t xml:space="preserve">aos mil anos, e a segunda ressurreição </w:t>
      </w:r>
      <w:r w:rsidRPr="00667883">
        <w:rPr>
          <w:rFonts w:ascii="Times New Roman" w:eastAsia="Times New Roman" w:hAnsi="Times New Roman" w:cs="Times New Roman"/>
          <w:i/>
          <w:iCs/>
          <w:sz w:val="24"/>
          <w:szCs w:val="24"/>
          <w:lang w:eastAsia="pt-BR"/>
        </w:rPr>
        <w:t xml:space="preserve">em seguida </w:t>
      </w:r>
      <w:r w:rsidRPr="00667883">
        <w:rPr>
          <w:rFonts w:ascii="Times New Roman" w:eastAsia="Times New Roman" w:hAnsi="Times New Roman" w:cs="Times New Roman"/>
          <w:sz w:val="24"/>
          <w:szCs w:val="24"/>
          <w:lang w:eastAsia="pt-BR"/>
        </w:rPr>
        <w:t xml:space="preserve">ao milênio. (Comumente acrescenta também um corolário quiliástico, de que quando Cristo vier Ele estabelecerá um reino </w:t>
      </w:r>
      <w:r w:rsidRPr="00667883">
        <w:rPr>
          <w:rFonts w:ascii="Times New Roman" w:eastAsia="Times New Roman" w:hAnsi="Times New Roman" w:cs="Times New Roman"/>
          <w:i/>
          <w:iCs/>
          <w:sz w:val="24"/>
          <w:szCs w:val="24"/>
          <w:lang w:eastAsia="pt-BR"/>
        </w:rPr>
        <w:t xml:space="preserve">na Terra, </w:t>
      </w:r>
      <w:r w:rsidRPr="00667883">
        <w:rPr>
          <w:rFonts w:ascii="Times New Roman" w:eastAsia="Times New Roman" w:hAnsi="Times New Roman" w:cs="Times New Roman"/>
          <w:sz w:val="24"/>
          <w:szCs w:val="24"/>
          <w:lang w:eastAsia="pt-BR"/>
        </w:rPr>
        <w:t>no qual os santos reinarão com Cristo sobre as nações.) O reino milenial é assim introduzido por acontecimentos sobrenaturais e catastróficos.</w:t>
      </w:r>
      <w:r w:rsidR="0074259F">
        <w:rPr>
          <w:rFonts w:ascii="Times New Roman" w:eastAsia="Times New Roman" w:hAnsi="Times New Roman" w:cs="Times New Roman"/>
          <w:sz w:val="24"/>
          <w:szCs w:val="24"/>
          <w:lang w:eastAsia="pt-BR"/>
        </w:rPr>
        <w:t xml:space="preserve"> </w:t>
      </w:r>
      <w:r w:rsidR="0074259F" w:rsidRPr="0074259F">
        <w:rPr>
          <w:rFonts w:ascii="Times New Roman" w:eastAsia="Times New Roman" w:hAnsi="Times New Roman" w:cs="Times New Roman"/>
          <w:color w:val="FF0000"/>
          <w:sz w:val="24"/>
          <w:szCs w:val="24"/>
          <w:lang w:eastAsia="pt-BR"/>
        </w:rPr>
        <w:t>[4]</w:t>
      </w:r>
    </w:p>
    <w:p w14:paraId="47A2F7F8" w14:textId="29E91C59" w:rsidR="00CD6BD9" w:rsidRPr="00667883" w:rsidRDefault="00CD6BD9" w:rsidP="00741FD9">
      <w:pPr>
        <w:pStyle w:val="PargrafodaLista"/>
        <w:shd w:val="clear" w:color="auto" w:fill="FFFFFF"/>
        <w:spacing w:after="100" w:afterAutospacing="1" w:line="240" w:lineRule="auto"/>
        <w:ind w:left="-567" w:right="-568"/>
        <w:jc w:val="both"/>
        <w:rPr>
          <w:rFonts w:ascii="Times New Roman" w:eastAsia="Times New Roman" w:hAnsi="Times New Roman" w:cs="Times New Roman"/>
          <w:sz w:val="24"/>
          <w:szCs w:val="24"/>
          <w:lang w:eastAsia="pt-BR"/>
        </w:rPr>
      </w:pPr>
      <w:r w:rsidRPr="00667883">
        <w:rPr>
          <w:rFonts w:ascii="Times New Roman" w:eastAsia="Times New Roman" w:hAnsi="Times New Roman" w:cs="Times New Roman"/>
          <w:sz w:val="24"/>
          <w:szCs w:val="24"/>
          <w:lang w:eastAsia="pt-BR"/>
        </w:rPr>
        <w:br/>
      </w:r>
      <w:r w:rsidRPr="00667883">
        <w:rPr>
          <w:rFonts w:ascii="Times New Roman" w:eastAsia="Times New Roman" w:hAnsi="Times New Roman" w:cs="Times New Roman"/>
          <w:b/>
          <w:bCs/>
          <w:sz w:val="24"/>
          <w:szCs w:val="24"/>
          <w:lang w:eastAsia="pt-BR"/>
        </w:rPr>
        <w:t>3. Pós-milenismo.</w:t>
      </w:r>
      <w:r w:rsidRPr="00667883">
        <w:rPr>
          <w:rFonts w:ascii="Times New Roman" w:eastAsia="Times New Roman" w:hAnsi="Times New Roman" w:cs="Times New Roman"/>
          <w:sz w:val="24"/>
          <w:szCs w:val="24"/>
          <w:lang w:eastAsia="pt-BR"/>
        </w:rPr>
        <w:t xml:space="preserve"> O pós-milenismo considera os "mil anos" como período possivelmente literal, </w:t>
      </w:r>
      <w:r w:rsidRPr="00667883">
        <w:rPr>
          <w:rFonts w:ascii="Times New Roman" w:eastAsia="Times New Roman" w:hAnsi="Times New Roman" w:cs="Times New Roman"/>
          <w:sz w:val="24"/>
          <w:szCs w:val="24"/>
          <w:lang w:eastAsia="pt-BR"/>
        </w:rPr>
        <w:lastRenderedPageBreak/>
        <w:t>porém mais provavelmente um período indefinido de tempo, que precede o segundo advento. A "primeira ressurreição" é, portanto, um reavivamento do espírito, da doutrina, dos princípios e caráter dos mártires cristãos e dos santos falecidos. E, depois que o mal do mundo for em grande parte afastado, introduzir-se-á a bênção paradisíaca, pela segunda vinda de Cristo e a ressurreição geral. Assim introduz-se o milênio sem direta intervenção divina.</w:t>
      </w:r>
      <w:r w:rsidR="005F0003">
        <w:rPr>
          <w:rFonts w:ascii="Times New Roman" w:eastAsia="Times New Roman" w:hAnsi="Times New Roman" w:cs="Times New Roman"/>
          <w:sz w:val="24"/>
          <w:szCs w:val="24"/>
          <w:lang w:eastAsia="pt-BR"/>
        </w:rPr>
        <w:t xml:space="preserve"> </w:t>
      </w:r>
      <w:r w:rsidR="005F0003" w:rsidRPr="005F0003">
        <w:rPr>
          <w:rFonts w:ascii="Times New Roman" w:eastAsia="Times New Roman" w:hAnsi="Times New Roman" w:cs="Times New Roman"/>
          <w:color w:val="FF0000"/>
          <w:sz w:val="24"/>
          <w:szCs w:val="24"/>
          <w:lang w:eastAsia="pt-BR"/>
        </w:rPr>
        <w:t>[5]</w:t>
      </w:r>
    </w:p>
    <w:p w14:paraId="5A1F966D" w14:textId="0E43CFEF" w:rsidR="00955BE0" w:rsidRPr="00C22256" w:rsidRDefault="00CD6BD9" w:rsidP="00741FD9">
      <w:pPr>
        <w:pStyle w:val="PargrafodaLista"/>
        <w:shd w:val="clear" w:color="auto" w:fill="FFFFFF"/>
        <w:spacing w:after="100" w:afterAutospacing="1" w:line="240" w:lineRule="auto"/>
        <w:ind w:left="-567" w:right="-568"/>
        <w:jc w:val="both"/>
        <w:rPr>
          <w:rFonts w:ascii="Times New Roman" w:eastAsia="Times New Roman" w:hAnsi="Times New Roman" w:cs="Times New Roman"/>
          <w:b/>
          <w:bCs/>
          <w:color w:val="FF0000"/>
          <w:sz w:val="20"/>
          <w:szCs w:val="20"/>
          <w:lang w:eastAsia="pt-BR"/>
        </w:rPr>
      </w:pPr>
      <w:r w:rsidRPr="00667883">
        <w:rPr>
          <w:rFonts w:ascii="Times New Roman" w:eastAsia="Times New Roman" w:hAnsi="Times New Roman" w:cs="Times New Roman"/>
          <w:b/>
          <w:bCs/>
          <w:sz w:val="24"/>
          <w:szCs w:val="24"/>
          <w:lang w:eastAsia="pt-BR"/>
        </w:rPr>
        <w:t>4. Amilenismo.</w:t>
      </w:r>
      <w:r w:rsidRPr="00667883">
        <w:rPr>
          <w:rFonts w:ascii="Times New Roman" w:eastAsia="Times New Roman" w:hAnsi="Times New Roman" w:cs="Times New Roman"/>
          <w:sz w:val="24"/>
          <w:szCs w:val="24"/>
          <w:lang w:eastAsia="pt-BR"/>
        </w:rPr>
        <w:t xml:space="preserve"> Os amilenistas afirmam que Apocalipse 20 apenas ensina verdades espirituais, em linguagem simbólica. Este conceito elimina o reino milenial, ou o considera como toda a era cristã. As duas ressurreições fundem-se numa só, e os diferentes aspectos do juízo tornam-se um grande inquérito judicial — Cristo simplesmente vem no fim dos séculos para julgar o mundo. Assim procura o amilenismo evitar as dificuldades que se acredita envolverem tanto o pré-milenismo como o pós-milenismo. [O prefixo </w:t>
      </w:r>
      <w:r w:rsidRPr="00667883">
        <w:rPr>
          <w:rFonts w:ascii="Times New Roman" w:eastAsia="Times New Roman" w:hAnsi="Times New Roman" w:cs="Times New Roman"/>
          <w:i/>
          <w:iCs/>
          <w:sz w:val="24"/>
          <w:szCs w:val="24"/>
          <w:lang w:eastAsia="pt-BR"/>
        </w:rPr>
        <w:t xml:space="preserve">a </w:t>
      </w:r>
      <w:r w:rsidRPr="00667883">
        <w:rPr>
          <w:rFonts w:ascii="Times New Roman" w:eastAsia="Times New Roman" w:hAnsi="Times New Roman" w:cs="Times New Roman"/>
          <w:sz w:val="24"/>
          <w:szCs w:val="24"/>
          <w:lang w:eastAsia="pt-BR"/>
        </w:rPr>
        <w:t>da palavra significa ausência, como em acéfalo, amoral, apolítico, etc. Portanto, amilenismo refere-se à crença de que não haverá um milênio.]</w:t>
      </w:r>
      <w:r w:rsidR="005F0003">
        <w:rPr>
          <w:rFonts w:ascii="Times New Roman" w:eastAsia="Times New Roman" w:hAnsi="Times New Roman" w:cs="Times New Roman"/>
          <w:sz w:val="24"/>
          <w:szCs w:val="24"/>
          <w:lang w:eastAsia="pt-BR"/>
        </w:rPr>
        <w:t xml:space="preserve"> </w:t>
      </w:r>
      <w:r w:rsidR="005F0003" w:rsidRPr="005F0003">
        <w:rPr>
          <w:rFonts w:ascii="Times New Roman" w:eastAsia="Times New Roman" w:hAnsi="Times New Roman" w:cs="Times New Roman"/>
          <w:color w:val="FF0000"/>
          <w:sz w:val="24"/>
          <w:szCs w:val="24"/>
          <w:lang w:eastAsia="pt-BR"/>
        </w:rPr>
        <w:t>[6]</w:t>
      </w:r>
      <w:r w:rsidR="009632D7" w:rsidRPr="00667883">
        <w:rPr>
          <w:rFonts w:ascii="Times New Roman" w:eastAsia="Times New Roman" w:hAnsi="Times New Roman" w:cs="Times New Roman"/>
          <w:sz w:val="24"/>
          <w:szCs w:val="24"/>
          <w:lang w:eastAsia="pt-BR"/>
        </w:rPr>
        <w:t xml:space="preserve"> </w:t>
      </w:r>
      <w:bookmarkStart w:id="1" w:name="_Hlk80608901"/>
    </w:p>
    <w:bookmarkEnd w:id="1"/>
    <w:p w14:paraId="4B670EE4" w14:textId="77777777" w:rsidR="00955BE0" w:rsidRPr="00667883" w:rsidRDefault="00955BE0" w:rsidP="00741FD9">
      <w:pPr>
        <w:pStyle w:val="PargrafodaLista"/>
        <w:shd w:val="clear" w:color="auto" w:fill="FFFFFF"/>
        <w:spacing w:after="100" w:afterAutospacing="1" w:line="240" w:lineRule="auto"/>
        <w:ind w:left="-567" w:right="-568"/>
        <w:jc w:val="both"/>
        <w:rPr>
          <w:rFonts w:ascii="Times New Roman" w:eastAsia="Times New Roman" w:hAnsi="Times New Roman" w:cs="Times New Roman"/>
          <w:sz w:val="24"/>
          <w:szCs w:val="24"/>
          <w:lang w:eastAsia="pt-BR"/>
        </w:rPr>
      </w:pPr>
    </w:p>
    <w:p w14:paraId="3F75C4DE" w14:textId="768EA799" w:rsidR="00094974" w:rsidRPr="00667883" w:rsidRDefault="008B6E37" w:rsidP="00741FD9">
      <w:pPr>
        <w:pStyle w:val="PargrafodaLista"/>
        <w:shd w:val="clear" w:color="auto" w:fill="FFFFFF"/>
        <w:spacing w:after="0" w:line="240" w:lineRule="auto"/>
        <w:ind w:left="-567" w:right="-568"/>
        <w:jc w:val="both"/>
        <w:rPr>
          <w:rFonts w:ascii="Times New Roman" w:eastAsia="Times New Roman" w:hAnsi="Times New Roman" w:cs="Times New Roman"/>
          <w:b/>
          <w:bCs/>
          <w:sz w:val="24"/>
          <w:szCs w:val="24"/>
          <w:lang w:eastAsia="pt-BR"/>
        </w:rPr>
      </w:pPr>
      <w:r w:rsidRPr="00667883">
        <w:rPr>
          <w:rFonts w:ascii="Times New Roman" w:eastAsia="Times New Roman" w:hAnsi="Times New Roman" w:cs="Times New Roman"/>
          <w:b/>
          <w:bCs/>
          <w:sz w:val="24"/>
          <w:szCs w:val="24"/>
          <w:lang w:eastAsia="pt-BR"/>
        </w:rPr>
        <w:t>DESENVOLVIMENTO HISTÓRICO DO DEBATE SOBRE APOCALIPSE 20</w:t>
      </w:r>
    </w:p>
    <w:p w14:paraId="5656C1DF" w14:textId="7D412362" w:rsidR="00094974" w:rsidRPr="00363FD5" w:rsidRDefault="00094974" w:rsidP="00741FD9">
      <w:pPr>
        <w:shd w:val="clear" w:color="auto" w:fill="FFFFFF"/>
        <w:spacing w:after="0" w:line="240" w:lineRule="auto"/>
        <w:ind w:left="-567" w:right="-568"/>
        <w:jc w:val="both"/>
        <w:textAlignment w:val="baseline"/>
        <w:rPr>
          <w:rFonts w:ascii="Times New Roman" w:eastAsia="Times New Roman" w:hAnsi="Times New Roman" w:cs="Times New Roman"/>
          <w:sz w:val="24"/>
          <w:szCs w:val="24"/>
          <w:u w:val="single"/>
          <w:bdr w:val="none" w:sz="0" w:space="0" w:color="auto" w:frame="1"/>
          <w:lang w:eastAsia="pt-BR"/>
        </w:rPr>
      </w:pPr>
      <w:r w:rsidRPr="00363FD5">
        <w:rPr>
          <w:rFonts w:ascii="Times New Roman" w:eastAsia="Times New Roman" w:hAnsi="Times New Roman" w:cs="Times New Roman"/>
          <w:sz w:val="24"/>
          <w:szCs w:val="24"/>
          <w:lang w:eastAsia="pt-BR"/>
        </w:rPr>
        <w:t xml:space="preserve">Robert G. </w:t>
      </w:r>
      <w:proofErr w:type="spellStart"/>
      <w:r w:rsidRPr="00363FD5">
        <w:rPr>
          <w:rFonts w:ascii="Times New Roman" w:eastAsia="Times New Roman" w:hAnsi="Times New Roman" w:cs="Times New Roman"/>
          <w:sz w:val="24"/>
          <w:szCs w:val="24"/>
          <w:lang w:eastAsia="pt-BR"/>
        </w:rPr>
        <w:t>Clouse</w:t>
      </w:r>
      <w:proofErr w:type="spellEnd"/>
      <w:r w:rsidRPr="00363FD5">
        <w:rPr>
          <w:rFonts w:ascii="Times New Roman" w:eastAsia="Times New Roman" w:hAnsi="Times New Roman" w:cs="Times New Roman"/>
          <w:sz w:val="24"/>
          <w:szCs w:val="24"/>
          <w:lang w:eastAsia="pt-BR"/>
        </w:rPr>
        <w:t xml:space="preserve"> – e outros </w:t>
      </w:r>
      <w:hyperlink r:id="rId8" w:anchor="_ftn1" w:history="1">
        <w:r w:rsidRPr="00363FD5">
          <w:rPr>
            <w:rFonts w:ascii="Times New Roman" w:eastAsia="Times New Roman" w:hAnsi="Times New Roman" w:cs="Times New Roman"/>
            <w:color w:val="FF0000"/>
            <w:sz w:val="24"/>
            <w:szCs w:val="24"/>
            <w:u w:val="single"/>
            <w:bdr w:val="none" w:sz="0" w:space="0" w:color="auto" w:frame="1"/>
            <w:lang w:eastAsia="pt-BR"/>
          </w:rPr>
          <w:t>[</w:t>
        </w:r>
        <w:r w:rsidR="0078587F" w:rsidRPr="00363FD5">
          <w:rPr>
            <w:rFonts w:ascii="Times New Roman" w:eastAsia="Times New Roman" w:hAnsi="Times New Roman" w:cs="Times New Roman"/>
            <w:color w:val="FF0000"/>
            <w:sz w:val="24"/>
            <w:szCs w:val="24"/>
            <w:u w:val="single"/>
            <w:bdr w:val="none" w:sz="0" w:space="0" w:color="auto" w:frame="1"/>
            <w:lang w:eastAsia="pt-BR"/>
          </w:rPr>
          <w:t>7</w:t>
        </w:r>
        <w:r w:rsidRPr="00363FD5">
          <w:rPr>
            <w:rFonts w:ascii="Times New Roman" w:eastAsia="Times New Roman" w:hAnsi="Times New Roman" w:cs="Times New Roman"/>
            <w:color w:val="FF0000"/>
            <w:sz w:val="24"/>
            <w:szCs w:val="24"/>
            <w:u w:val="single"/>
            <w:bdr w:val="none" w:sz="0" w:space="0" w:color="auto" w:frame="1"/>
            <w:lang w:eastAsia="pt-BR"/>
          </w:rPr>
          <w:t>]</w:t>
        </w:r>
      </w:hyperlink>
      <w:r w:rsidRPr="00363FD5">
        <w:rPr>
          <w:rFonts w:ascii="Times New Roman" w:eastAsia="Times New Roman" w:hAnsi="Times New Roman" w:cs="Times New Roman"/>
          <w:sz w:val="24"/>
          <w:szCs w:val="24"/>
          <w:lang w:eastAsia="pt-BR"/>
        </w:rPr>
        <w:t> – afirma que a discussão acerca do milênio tem estado presente desde o primórdio da </w:t>
      </w:r>
      <w:hyperlink r:id="rId9" w:history="1">
        <w:r w:rsidRPr="00363FD5">
          <w:rPr>
            <w:rFonts w:ascii="Times New Roman" w:eastAsia="Times New Roman" w:hAnsi="Times New Roman" w:cs="Times New Roman"/>
            <w:b/>
            <w:bCs/>
            <w:sz w:val="24"/>
            <w:szCs w:val="24"/>
            <w:u w:val="single"/>
            <w:bdr w:val="none" w:sz="0" w:space="0" w:color="auto" w:frame="1"/>
            <w:lang w:eastAsia="pt-BR"/>
          </w:rPr>
          <w:t>igreja,</w:t>
        </w:r>
      </w:hyperlink>
      <w:r w:rsidRPr="00363FD5">
        <w:rPr>
          <w:rFonts w:ascii="Times New Roman" w:eastAsia="Times New Roman" w:hAnsi="Times New Roman" w:cs="Times New Roman"/>
          <w:sz w:val="24"/>
          <w:szCs w:val="24"/>
          <w:lang w:eastAsia="pt-BR"/>
        </w:rPr>
        <w:t> na era conhecida como </w:t>
      </w:r>
      <w:r w:rsidRPr="00363FD5">
        <w:rPr>
          <w:rFonts w:ascii="Times New Roman" w:eastAsia="Times New Roman" w:hAnsi="Times New Roman" w:cs="Times New Roman"/>
          <w:sz w:val="24"/>
          <w:szCs w:val="24"/>
          <w:bdr w:val="none" w:sz="0" w:space="0" w:color="auto" w:frame="1"/>
          <w:lang w:eastAsia="pt-BR"/>
        </w:rPr>
        <w:t>era dos</w:t>
      </w:r>
      <w:r w:rsidRPr="00363FD5">
        <w:rPr>
          <w:rFonts w:ascii="Times New Roman" w:eastAsia="Times New Roman" w:hAnsi="Times New Roman" w:cs="Times New Roman"/>
          <w:b/>
          <w:bCs/>
          <w:sz w:val="24"/>
          <w:szCs w:val="24"/>
          <w:bdr w:val="none" w:sz="0" w:space="0" w:color="auto" w:frame="1"/>
          <w:lang w:eastAsia="pt-BR"/>
        </w:rPr>
        <w:t> </w:t>
      </w:r>
      <w:hyperlink r:id="rId10" w:history="1">
        <w:r w:rsidRPr="00363FD5">
          <w:rPr>
            <w:rFonts w:ascii="Times New Roman" w:eastAsia="Times New Roman" w:hAnsi="Times New Roman" w:cs="Times New Roman"/>
            <w:b/>
            <w:bCs/>
            <w:sz w:val="24"/>
            <w:szCs w:val="24"/>
            <w:u w:val="single"/>
            <w:bdr w:val="none" w:sz="0" w:space="0" w:color="auto" w:frame="1"/>
            <w:lang w:eastAsia="pt-BR"/>
          </w:rPr>
          <w:t>pais da igreja</w:t>
        </w:r>
      </w:hyperlink>
      <w:r w:rsidRPr="00363FD5">
        <w:rPr>
          <w:rFonts w:ascii="Times New Roman" w:eastAsia="Times New Roman" w:hAnsi="Times New Roman" w:cs="Times New Roman"/>
          <w:b/>
          <w:bCs/>
          <w:sz w:val="24"/>
          <w:szCs w:val="24"/>
          <w:lang w:eastAsia="pt-BR"/>
        </w:rPr>
        <w:t>.</w:t>
      </w:r>
      <w:r w:rsidRPr="00363FD5">
        <w:rPr>
          <w:rFonts w:ascii="Times New Roman" w:eastAsia="Times New Roman" w:hAnsi="Times New Roman" w:cs="Times New Roman"/>
          <w:sz w:val="24"/>
          <w:szCs w:val="24"/>
          <w:lang w:eastAsia="pt-BR"/>
        </w:rPr>
        <w:t xml:space="preserve"> Ele aponta que, o </w:t>
      </w:r>
      <w:r w:rsidR="00067C70" w:rsidRPr="00363FD5">
        <w:rPr>
          <w:rFonts w:ascii="Times New Roman" w:eastAsia="Times New Roman" w:hAnsi="Times New Roman" w:cs="Times New Roman"/>
          <w:sz w:val="24"/>
          <w:szCs w:val="24"/>
          <w:lang w:eastAsia="pt-BR"/>
        </w:rPr>
        <w:t>pré-milenismo</w:t>
      </w:r>
      <w:r w:rsidRPr="00363FD5">
        <w:rPr>
          <w:rFonts w:ascii="Times New Roman" w:eastAsia="Times New Roman" w:hAnsi="Times New Roman" w:cs="Times New Roman"/>
          <w:sz w:val="24"/>
          <w:szCs w:val="24"/>
          <w:lang w:eastAsia="pt-BR"/>
        </w:rPr>
        <w:t xml:space="preserve"> parece ter sido a interpretação escatológica dominante, o que não prevaleceu mais que três séculos:</w:t>
      </w:r>
      <w:r w:rsidR="00067C70" w:rsidRPr="00363FD5">
        <w:rPr>
          <w:rFonts w:ascii="Times New Roman" w:eastAsia="Times New Roman" w:hAnsi="Times New Roman" w:cs="Times New Roman"/>
          <w:sz w:val="24"/>
          <w:szCs w:val="24"/>
          <w:lang w:eastAsia="pt-BR"/>
        </w:rPr>
        <w:t xml:space="preserve"> </w:t>
      </w:r>
      <w:r w:rsidRPr="00363FD5">
        <w:rPr>
          <w:rFonts w:ascii="Times New Roman" w:eastAsia="Times New Roman" w:hAnsi="Times New Roman" w:cs="Times New Roman"/>
          <w:sz w:val="24"/>
          <w:szCs w:val="24"/>
          <w:bdr w:val="none" w:sz="0" w:space="0" w:color="auto" w:frame="1"/>
          <w:lang w:eastAsia="pt-BR"/>
        </w:rPr>
        <w:t xml:space="preserve">Nos primeiros três séculos da era cristã o </w:t>
      </w:r>
      <w:r w:rsidR="00067C70" w:rsidRPr="00363FD5">
        <w:rPr>
          <w:rFonts w:ascii="Times New Roman" w:eastAsia="Times New Roman" w:hAnsi="Times New Roman" w:cs="Times New Roman"/>
          <w:sz w:val="24"/>
          <w:szCs w:val="24"/>
          <w:bdr w:val="none" w:sz="0" w:space="0" w:color="auto" w:frame="1"/>
          <w:lang w:eastAsia="pt-BR"/>
        </w:rPr>
        <w:t>pré-milenismo</w:t>
      </w:r>
      <w:r w:rsidRPr="00363FD5">
        <w:rPr>
          <w:rFonts w:ascii="Times New Roman" w:eastAsia="Times New Roman" w:hAnsi="Times New Roman" w:cs="Times New Roman"/>
          <w:sz w:val="24"/>
          <w:szCs w:val="24"/>
          <w:bdr w:val="none" w:sz="0" w:space="0" w:color="auto" w:frame="1"/>
          <w:lang w:eastAsia="pt-BR"/>
        </w:rPr>
        <w:t xml:space="preserve"> parece ter sido a interpretação escatológica dominante. Entre seus adeptos estavam Papias, Irineu, Justino Mártir, Tertuliano, Hipólito, Metódio, Comodiano e Lactâncio. No quarto século, quando a igreja cristã recebeu uma posição favorável sob o imperador Constantino, a posição amilenista foi aceita. O milênio foi reinterpretado em referência à igreja, e o reinado milenar de Cristo e seus santos foi igualado à totalidade da História da igreja na terra, assim propiciando uma negação de um milênio futuro. O famoso pai da igreja Agostinho articulou esta posição, [de tal forma] que se tornou a interpretação dominante que no Concílio de Éfeso, em 431, crer no milênio foi condenado como superstição. </w:t>
      </w:r>
      <w:hyperlink r:id="rId11" w:anchor="_ftn2" w:history="1">
        <w:r w:rsidRPr="00363FD5">
          <w:rPr>
            <w:rFonts w:ascii="Times New Roman" w:eastAsia="Times New Roman" w:hAnsi="Times New Roman" w:cs="Times New Roman"/>
            <w:color w:val="FF0000"/>
            <w:sz w:val="24"/>
            <w:szCs w:val="24"/>
            <w:u w:val="single"/>
            <w:bdr w:val="none" w:sz="0" w:space="0" w:color="auto" w:frame="1"/>
            <w:lang w:eastAsia="pt-BR"/>
          </w:rPr>
          <w:t>[</w:t>
        </w:r>
        <w:r w:rsidR="0078587F" w:rsidRPr="00363FD5">
          <w:rPr>
            <w:rFonts w:ascii="Times New Roman" w:eastAsia="Times New Roman" w:hAnsi="Times New Roman" w:cs="Times New Roman"/>
            <w:color w:val="FF0000"/>
            <w:sz w:val="24"/>
            <w:szCs w:val="24"/>
            <w:u w:val="single"/>
            <w:bdr w:val="none" w:sz="0" w:space="0" w:color="auto" w:frame="1"/>
            <w:lang w:eastAsia="pt-BR"/>
          </w:rPr>
          <w:t>8</w:t>
        </w:r>
        <w:r w:rsidRPr="00363FD5">
          <w:rPr>
            <w:rFonts w:ascii="Times New Roman" w:eastAsia="Times New Roman" w:hAnsi="Times New Roman" w:cs="Times New Roman"/>
            <w:color w:val="FF0000"/>
            <w:sz w:val="24"/>
            <w:szCs w:val="24"/>
            <w:u w:val="single"/>
            <w:bdr w:val="none" w:sz="0" w:space="0" w:color="auto" w:frame="1"/>
            <w:lang w:eastAsia="pt-BR"/>
          </w:rPr>
          <w:t>]</w:t>
        </w:r>
      </w:hyperlink>
    </w:p>
    <w:p w14:paraId="39F2794F" w14:textId="2624A3BE" w:rsidR="00955BE0" w:rsidRPr="00667883" w:rsidRDefault="00955BE0" w:rsidP="00741FD9">
      <w:pPr>
        <w:shd w:val="clear" w:color="auto" w:fill="FFFFFF"/>
        <w:spacing w:after="0" w:line="240" w:lineRule="auto"/>
        <w:ind w:left="-567" w:right="-568"/>
        <w:jc w:val="both"/>
        <w:textAlignment w:val="baseline"/>
        <w:rPr>
          <w:rFonts w:ascii="Times New Roman" w:eastAsia="Times New Roman" w:hAnsi="Times New Roman" w:cs="Times New Roman"/>
          <w:sz w:val="24"/>
          <w:szCs w:val="24"/>
          <w:lang w:eastAsia="pt-BR"/>
        </w:rPr>
      </w:pPr>
    </w:p>
    <w:p w14:paraId="44017024" w14:textId="77777777" w:rsidR="00FE7CBE" w:rsidRDefault="00067C70" w:rsidP="00741FD9">
      <w:pPr>
        <w:shd w:val="clear" w:color="auto" w:fill="FFFFFF"/>
        <w:spacing w:after="0" w:line="240" w:lineRule="auto"/>
        <w:ind w:left="-567" w:right="-568"/>
        <w:jc w:val="both"/>
        <w:rPr>
          <w:rFonts w:ascii="Times New Roman" w:eastAsia="Times New Roman" w:hAnsi="Times New Roman" w:cs="Times New Roman"/>
          <w:b/>
          <w:bCs/>
          <w:sz w:val="24"/>
          <w:szCs w:val="24"/>
          <w:lang w:eastAsia="pt-BR"/>
        </w:rPr>
      </w:pPr>
      <w:r w:rsidRPr="00067C70">
        <w:rPr>
          <w:rFonts w:ascii="Times New Roman" w:eastAsia="Times New Roman" w:hAnsi="Times New Roman" w:cs="Times New Roman"/>
          <w:b/>
          <w:bCs/>
          <w:sz w:val="24"/>
          <w:szCs w:val="24"/>
          <w:lang w:eastAsia="pt-BR"/>
        </w:rPr>
        <w:t>PÓS-MILENISMO DE AGOSTINHO</w:t>
      </w:r>
    </w:p>
    <w:p w14:paraId="2D732017" w14:textId="6B4EAAF5" w:rsidR="0020412F" w:rsidRPr="00027BDF" w:rsidRDefault="0020412F" w:rsidP="00741FD9">
      <w:pPr>
        <w:shd w:val="clear" w:color="auto" w:fill="FFFFFF"/>
        <w:spacing w:after="0"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O </w:t>
      </w:r>
      <w:proofErr w:type="spellStart"/>
      <w:r w:rsidRPr="00667883">
        <w:rPr>
          <w:rFonts w:ascii="Times New Roman" w:hAnsi="Times New Roman" w:cs="Times New Roman"/>
          <w:sz w:val="24"/>
          <w:szCs w:val="24"/>
        </w:rPr>
        <w:t>Pré-milenismo</w:t>
      </w:r>
      <w:proofErr w:type="spellEnd"/>
      <w:r w:rsidRPr="00667883">
        <w:rPr>
          <w:rFonts w:ascii="Times New Roman" w:hAnsi="Times New Roman" w:cs="Times New Roman"/>
          <w:sz w:val="24"/>
          <w:szCs w:val="24"/>
        </w:rPr>
        <w:t xml:space="preserve"> é Abandonado no Tempo de Agostinho, ele privou de sua base a esperança escatológica: uma ressurreição literal, segundo advento literal e profecias literais. Pouco depois, surgiu o conceito de que o eterno reino de Deus é a igreja dominante, estabelecida na Terra. Este conceito foi introduzido por Eusébio depois da "conversão" de Constantino ao cristianismo e do fim da perseguição pagã. Agostinho, semelhantemente, desafiou os excessos do pré-milenismo quiliasta, e introduziu uma espiritualização do m</w:t>
      </w:r>
      <w:r w:rsidR="00363FD5">
        <w:rPr>
          <w:rFonts w:ascii="Times New Roman" w:hAnsi="Times New Roman" w:cs="Times New Roman"/>
          <w:sz w:val="24"/>
          <w:szCs w:val="24"/>
        </w:rPr>
        <w:t>i</w:t>
      </w:r>
      <w:r w:rsidRPr="00667883">
        <w:rPr>
          <w:rFonts w:ascii="Times New Roman" w:hAnsi="Times New Roman" w:cs="Times New Roman"/>
          <w:sz w:val="24"/>
          <w:szCs w:val="24"/>
        </w:rPr>
        <w:t xml:space="preserve">lênio. A primeira ressurreição seria espiritual. Os mil anos seriam um período entre o primeiro e o segundo adventos, com a segunda ressurreição - a ressurreição literal do corpo - no seu encerramento. (O amilenismo do protestantismo atual assume posição muito semelhante quanto às duas ressurreições.) Os "mil anos" de Agostinho eram um </w:t>
      </w:r>
      <w:r w:rsidRPr="00027BDF">
        <w:rPr>
          <w:rFonts w:ascii="Times New Roman" w:hAnsi="Times New Roman" w:cs="Times New Roman"/>
          <w:sz w:val="24"/>
          <w:szCs w:val="24"/>
        </w:rPr>
        <w:t xml:space="preserve">número figurado, que abrangia todo o período entre o ministério de Cristo e o fim do mundo. Agostinho também identificava os mil anos de Apocalipse 20 com o sexto milênio da história do mundo, equiparando com a eternidade o sétimo período, ou período sabático. </w:t>
      </w:r>
    </w:p>
    <w:p w14:paraId="67DC1C63" w14:textId="634710B9" w:rsidR="0020412F" w:rsidRPr="00C22256" w:rsidRDefault="0020412F" w:rsidP="00741FD9">
      <w:pPr>
        <w:spacing w:line="240" w:lineRule="auto"/>
        <w:ind w:left="-567" w:right="-568"/>
        <w:jc w:val="both"/>
        <w:rPr>
          <w:rFonts w:ascii="Times New Roman" w:hAnsi="Times New Roman" w:cs="Times New Roman"/>
          <w:b/>
          <w:bCs/>
          <w:color w:val="FF0000"/>
          <w:sz w:val="24"/>
          <w:szCs w:val="24"/>
        </w:rPr>
      </w:pPr>
      <w:r w:rsidRPr="00027BDF">
        <w:rPr>
          <w:rFonts w:ascii="Times New Roman" w:hAnsi="Times New Roman" w:cs="Times New Roman"/>
          <w:sz w:val="24"/>
          <w:szCs w:val="24"/>
        </w:rPr>
        <w:t>O "aprisionamento" de Satanás era sua expulsão do coração dos crentes; a Igreja Católica era o "reino de Cristo"; e os chefes da igreja estavam já assentados em juízo. Para Agostinho, era seguro o triunfo final do cristianismo. A "besta" era o mundo ímpio, e "Gogue e Magogue", as nações do diabo. O "acampamento dos santos" é a igreja, e o "fogo devorador" o seu zelo ardente,</w:t>
      </w:r>
      <w:r w:rsidRPr="00667883">
        <w:rPr>
          <w:rFonts w:ascii="Times New Roman" w:hAnsi="Times New Roman" w:cs="Times New Roman"/>
          <w:sz w:val="24"/>
          <w:szCs w:val="24"/>
        </w:rPr>
        <w:t xml:space="preserve"> ao passo que a "Nova Jerusalém" é a presente glória da igreja. Foi assim que o reino milenial de Agostinho foi aceito como uma realidade então presente na Terra. Era uma filosofia da história basicamente nova. Esse conceito tornou-se predominante por volta do 5º século, sendo em geral mantido por mais de mil anos como a filosofia prevalecente da cristandade católica romana. Assim, o pré-milenismo primitivo quase desapareceu, sob o crescente conceito de "igreja triunfante".</w:t>
      </w:r>
      <w:r w:rsidR="00243D46">
        <w:rPr>
          <w:rFonts w:ascii="Times New Roman" w:hAnsi="Times New Roman" w:cs="Times New Roman"/>
          <w:sz w:val="24"/>
          <w:szCs w:val="24"/>
        </w:rPr>
        <w:t xml:space="preserve"> </w:t>
      </w:r>
      <w:r w:rsidR="00243D46" w:rsidRPr="00243D46">
        <w:rPr>
          <w:rFonts w:ascii="Times New Roman" w:hAnsi="Times New Roman" w:cs="Times New Roman"/>
          <w:color w:val="FF0000"/>
          <w:sz w:val="24"/>
          <w:szCs w:val="24"/>
        </w:rPr>
        <w:t>[9]</w:t>
      </w:r>
      <w:r w:rsidRPr="00667883">
        <w:rPr>
          <w:rFonts w:ascii="Times New Roman" w:hAnsi="Times New Roman" w:cs="Times New Roman"/>
          <w:sz w:val="24"/>
          <w:szCs w:val="24"/>
        </w:rPr>
        <w:t xml:space="preserve"> </w:t>
      </w:r>
    </w:p>
    <w:p w14:paraId="6C6FD727" w14:textId="24301852" w:rsidR="001D4F85" w:rsidRPr="00667883" w:rsidRDefault="001D4F85" w:rsidP="00741FD9">
      <w:pPr>
        <w:pStyle w:val="PargrafodaLista"/>
        <w:spacing w:after="0" w:line="240" w:lineRule="auto"/>
        <w:ind w:left="-567" w:right="-568"/>
        <w:rPr>
          <w:rFonts w:ascii="Times New Roman" w:hAnsi="Times New Roman" w:cs="Times New Roman"/>
          <w:b/>
          <w:sz w:val="24"/>
          <w:szCs w:val="24"/>
        </w:rPr>
      </w:pPr>
      <w:r w:rsidRPr="00667883">
        <w:rPr>
          <w:rFonts w:ascii="Times New Roman" w:hAnsi="Times New Roman" w:cs="Times New Roman"/>
          <w:b/>
          <w:sz w:val="24"/>
          <w:szCs w:val="24"/>
        </w:rPr>
        <w:t>PÓS-MILENISMO MEDIEVAL DA "IGREJA PURA"</w:t>
      </w:r>
    </w:p>
    <w:p w14:paraId="52171FA1" w14:textId="663A95C4" w:rsidR="00F94311" w:rsidRPr="00667883" w:rsidRDefault="00F94311"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O agostianismo prevaleceu durante a Idade Média, em vista do crescente domínio da igreja na Europa Ocidental. Mas, com o passar do ano 1000 d.C. e a aproximação do ano 1260, surgiu um novo </w:t>
      </w:r>
      <w:r w:rsidRPr="00667883">
        <w:rPr>
          <w:rFonts w:ascii="Times New Roman" w:hAnsi="Times New Roman" w:cs="Times New Roman"/>
          <w:sz w:val="24"/>
          <w:szCs w:val="24"/>
        </w:rPr>
        <w:lastRenderedPageBreak/>
        <w:t xml:space="preserve">conceito. A teoria agostiniana esperava uma igreja triunfante.  Joaquim, da época medieval, e seus seguidores esperavam uma igreja pura. </w:t>
      </w:r>
    </w:p>
    <w:p w14:paraId="5C25498A" w14:textId="2CC04BED" w:rsidR="00F94311" w:rsidRPr="00C22256" w:rsidRDefault="00F94311" w:rsidP="00741FD9">
      <w:pPr>
        <w:spacing w:line="240" w:lineRule="auto"/>
        <w:ind w:left="-567" w:right="-568"/>
        <w:jc w:val="both"/>
        <w:rPr>
          <w:rFonts w:ascii="Times New Roman" w:hAnsi="Times New Roman" w:cs="Times New Roman"/>
          <w:b/>
          <w:bCs/>
          <w:i/>
          <w:iCs/>
          <w:color w:val="FF0000"/>
          <w:sz w:val="24"/>
          <w:szCs w:val="24"/>
        </w:rPr>
      </w:pPr>
      <w:r w:rsidRPr="00667883">
        <w:rPr>
          <w:rFonts w:ascii="Times New Roman" w:hAnsi="Times New Roman" w:cs="Times New Roman"/>
          <w:sz w:val="24"/>
          <w:szCs w:val="24"/>
        </w:rPr>
        <w:t xml:space="preserve">Desvios eclesiásticos muito evidentes, por parte do papado, tornaram impossível continuar a igualar a igreja visível com o reino de Deus na Terra. Assim, o ideal medievo da igreja pura assumiu a forma de um novo pós-milenismo, no qual a idade áurea </w:t>
      </w:r>
      <w:proofErr w:type="gramStart"/>
      <w:r w:rsidR="00CA2262" w:rsidRPr="00667883">
        <w:rPr>
          <w:rFonts w:ascii="Times New Roman" w:hAnsi="Times New Roman" w:cs="Times New Roman"/>
          <w:sz w:val="24"/>
          <w:szCs w:val="24"/>
        </w:rPr>
        <w:t>(...) Baseava</w:t>
      </w:r>
      <w:r w:rsidRPr="00667883">
        <w:rPr>
          <w:rFonts w:ascii="Times New Roman" w:hAnsi="Times New Roman" w:cs="Times New Roman"/>
          <w:sz w:val="24"/>
          <w:szCs w:val="24"/>
        </w:rPr>
        <w:t>-se</w:t>
      </w:r>
      <w:proofErr w:type="gramEnd"/>
      <w:r w:rsidRPr="00667883">
        <w:rPr>
          <w:rFonts w:ascii="Times New Roman" w:hAnsi="Times New Roman" w:cs="Times New Roman"/>
          <w:sz w:val="24"/>
          <w:szCs w:val="24"/>
        </w:rPr>
        <w:t xml:space="preserve"> no conceito trinitário-dispensacional: a era do Pai, a era do Filho e a era do Espírito Santo. </w:t>
      </w:r>
      <w:r w:rsidR="00CA2262" w:rsidRPr="00667883">
        <w:rPr>
          <w:rFonts w:ascii="Times New Roman" w:hAnsi="Times New Roman" w:cs="Times New Roman"/>
          <w:sz w:val="24"/>
          <w:szCs w:val="24"/>
        </w:rPr>
        <w:t>(...) Uma</w:t>
      </w:r>
      <w:r w:rsidRPr="00667883">
        <w:rPr>
          <w:rFonts w:ascii="Times New Roman" w:hAnsi="Times New Roman" w:cs="Times New Roman"/>
          <w:sz w:val="24"/>
          <w:szCs w:val="24"/>
        </w:rPr>
        <w:t xml:space="preserve"> era futura, assinalada pelo predomínio do Espírito, foi muito acentuada pelos "franciscanos espirituais". Eles afirmavam ser tão necessária a purificação da igreja que coisa alguma senão a vinda do Espírito Santo, com grande poder, a poderia efetuar.</w:t>
      </w:r>
      <w:r w:rsidR="00C25F9D" w:rsidRPr="00667883">
        <w:rPr>
          <w:rFonts w:ascii="Times New Roman" w:hAnsi="Times New Roman" w:cs="Times New Roman"/>
          <w:sz w:val="24"/>
          <w:szCs w:val="24"/>
        </w:rPr>
        <w:t xml:space="preserve"> </w:t>
      </w:r>
      <w:r w:rsidR="00DE6C1B" w:rsidRPr="00DE6C1B">
        <w:rPr>
          <w:rFonts w:ascii="Times New Roman" w:hAnsi="Times New Roman" w:cs="Times New Roman"/>
          <w:color w:val="FF0000"/>
          <w:sz w:val="24"/>
          <w:szCs w:val="24"/>
        </w:rPr>
        <w:t xml:space="preserve">[10] </w:t>
      </w:r>
      <w:r w:rsidR="00DE6C1B">
        <w:rPr>
          <w:rFonts w:ascii="Times New Roman" w:hAnsi="Times New Roman" w:cs="Times New Roman"/>
          <w:b/>
          <w:bCs/>
          <w:i/>
          <w:iCs/>
          <w:color w:val="FF0000"/>
          <w:sz w:val="24"/>
          <w:szCs w:val="24"/>
        </w:rPr>
        <w:t xml:space="preserve"> </w:t>
      </w:r>
    </w:p>
    <w:p w14:paraId="3A27DB33" w14:textId="0E1C39AD" w:rsidR="00CA2262" w:rsidRPr="00667883" w:rsidRDefault="00CA2262" w:rsidP="00741FD9">
      <w:pPr>
        <w:pStyle w:val="PargrafodaLista"/>
        <w:spacing w:after="0" w:line="240" w:lineRule="auto"/>
        <w:ind w:left="-567" w:right="-568"/>
        <w:rPr>
          <w:rFonts w:ascii="Times New Roman" w:hAnsi="Times New Roman" w:cs="Times New Roman"/>
          <w:b/>
          <w:sz w:val="24"/>
          <w:szCs w:val="24"/>
        </w:rPr>
      </w:pPr>
      <w:r w:rsidRPr="00667883">
        <w:rPr>
          <w:rFonts w:ascii="Times New Roman" w:hAnsi="Times New Roman" w:cs="Times New Roman"/>
          <w:b/>
          <w:sz w:val="24"/>
          <w:szCs w:val="24"/>
        </w:rPr>
        <w:t>O PRÉ-MILENISMO REVIVE NOS TEMPOS PÓS-REFORMA</w:t>
      </w:r>
    </w:p>
    <w:p w14:paraId="2D56E7CF" w14:textId="53A7B2CC" w:rsidR="00CA2262" w:rsidRPr="00667883" w:rsidRDefault="00CA2262"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Os grandes reformadores, envolvidos com o desenvolvimento de doutrinas como a justificação pela fé, não se preocupavam diretamente com o milênio. Continuavam com o ponto de vista de Agostinho sobre o reino milenial como sendo a igreja, embora houvesse forte ênfase em que o anticristo fosse o papado... Quando a Reforma se tornou um movimento de igrejas estatais, os milenistas da igreja pura tornaram-se grupos marginais, como os anabatistas. Com efeito, as principais igrejas protestantes tenderam a desacreditar o milenismo, por causa dos excessos de alguns quiliastas, tais como os </w:t>
      </w:r>
      <w:proofErr w:type="spellStart"/>
      <w:r w:rsidRPr="00667883">
        <w:rPr>
          <w:rFonts w:ascii="Times New Roman" w:hAnsi="Times New Roman" w:cs="Times New Roman"/>
          <w:sz w:val="24"/>
          <w:szCs w:val="24"/>
        </w:rPr>
        <w:t>münsteritas</w:t>
      </w:r>
      <w:proofErr w:type="spellEnd"/>
      <w:r w:rsidRPr="00667883">
        <w:rPr>
          <w:rFonts w:ascii="Times New Roman" w:hAnsi="Times New Roman" w:cs="Times New Roman"/>
          <w:sz w:val="24"/>
          <w:szCs w:val="24"/>
        </w:rPr>
        <w:t xml:space="preserve">, no continente, e, mais tarde, os homens da Quinta Monarquia, na Inglaterra, e devido a elementos políticos e revolucionários em seus estratagemas para introduzir o reino de Deus na Terra. Mas os elementos mais estáveis desses grupos marginais causaram forte impressão sobre os batistas e congregacionalistas posteriores. Foi dessa fonte que as primitivas igrejas americanas se tornaram imbuídas do ideal de uma igreja pura, estabelecendo o reino de Deus antes da vinda de Cristo. </w:t>
      </w:r>
    </w:p>
    <w:p w14:paraId="7A07B1E8" w14:textId="45D9EB2E" w:rsidR="00CA2262" w:rsidRPr="00C22256" w:rsidRDefault="00CA2262" w:rsidP="00741FD9">
      <w:pPr>
        <w:spacing w:line="240" w:lineRule="auto"/>
        <w:ind w:left="-567" w:right="-568"/>
        <w:jc w:val="both"/>
        <w:rPr>
          <w:rFonts w:ascii="Times New Roman" w:hAnsi="Times New Roman" w:cs="Times New Roman"/>
          <w:b/>
          <w:bCs/>
          <w:i/>
          <w:iCs/>
          <w:color w:val="FF0000"/>
          <w:sz w:val="24"/>
          <w:szCs w:val="24"/>
        </w:rPr>
      </w:pPr>
      <w:r w:rsidRPr="00667883">
        <w:rPr>
          <w:rFonts w:ascii="Times New Roman" w:hAnsi="Times New Roman" w:cs="Times New Roman"/>
          <w:sz w:val="24"/>
          <w:szCs w:val="24"/>
        </w:rPr>
        <w:t>Foi depois do período da Reforma que Joseph Mede combateu o ponto de vista agostiniano com o seu esquema de interpretação profética que de novo estabeleceu o milênio no futuro, após o segundo advento, com primeira e segunda ressurreições literais. Daí por diante, floresceu no protestantismo um pré-milenismo histórico com tamanho vigor que nunca foi abandonado completamente, mesmo no período da ascendência do pós-</w:t>
      </w:r>
      <w:proofErr w:type="spellStart"/>
      <w:r w:rsidRPr="00667883">
        <w:rPr>
          <w:rFonts w:ascii="Times New Roman" w:hAnsi="Times New Roman" w:cs="Times New Roman"/>
          <w:sz w:val="24"/>
          <w:szCs w:val="24"/>
        </w:rPr>
        <w:t>milenismo</w:t>
      </w:r>
      <w:proofErr w:type="spellEnd"/>
      <w:r w:rsidRPr="00667883">
        <w:rPr>
          <w:rFonts w:ascii="Times New Roman" w:hAnsi="Times New Roman" w:cs="Times New Roman"/>
          <w:sz w:val="24"/>
          <w:szCs w:val="24"/>
        </w:rPr>
        <w:t xml:space="preserve"> de </w:t>
      </w:r>
      <w:proofErr w:type="spellStart"/>
      <w:r w:rsidRPr="00667883">
        <w:rPr>
          <w:rFonts w:ascii="Times New Roman" w:hAnsi="Times New Roman" w:cs="Times New Roman"/>
          <w:sz w:val="24"/>
          <w:szCs w:val="24"/>
        </w:rPr>
        <w:t>Whitby</w:t>
      </w:r>
      <w:proofErr w:type="spellEnd"/>
      <w:r w:rsidRPr="00667883">
        <w:rPr>
          <w:rFonts w:ascii="Times New Roman" w:hAnsi="Times New Roman" w:cs="Times New Roman"/>
          <w:sz w:val="24"/>
          <w:szCs w:val="24"/>
        </w:rPr>
        <w:t>.</w:t>
      </w:r>
      <w:r w:rsidR="008C1971">
        <w:rPr>
          <w:rFonts w:ascii="Times New Roman" w:hAnsi="Times New Roman" w:cs="Times New Roman"/>
          <w:sz w:val="24"/>
          <w:szCs w:val="24"/>
        </w:rPr>
        <w:t xml:space="preserve"> </w:t>
      </w:r>
      <w:r w:rsidR="008C1971" w:rsidRPr="008C1971">
        <w:rPr>
          <w:rFonts w:ascii="Times New Roman" w:hAnsi="Times New Roman" w:cs="Times New Roman"/>
          <w:color w:val="FF0000"/>
          <w:sz w:val="24"/>
          <w:szCs w:val="24"/>
        </w:rPr>
        <w:t>[11]</w:t>
      </w:r>
      <w:r w:rsidRPr="008C1971">
        <w:rPr>
          <w:rFonts w:ascii="Times New Roman" w:hAnsi="Times New Roman" w:cs="Times New Roman"/>
          <w:color w:val="FF0000"/>
          <w:sz w:val="24"/>
          <w:szCs w:val="24"/>
        </w:rPr>
        <w:t xml:space="preserve"> </w:t>
      </w:r>
      <w:r w:rsidR="008C1971">
        <w:rPr>
          <w:rFonts w:ascii="Times New Roman" w:hAnsi="Times New Roman" w:cs="Times New Roman"/>
          <w:b/>
          <w:bCs/>
          <w:i/>
          <w:iCs/>
          <w:color w:val="FF0000"/>
          <w:sz w:val="24"/>
          <w:szCs w:val="24"/>
        </w:rPr>
        <w:t xml:space="preserve"> </w:t>
      </w:r>
    </w:p>
    <w:p w14:paraId="5AF81C17" w14:textId="77777777" w:rsidR="00CA2262" w:rsidRPr="00667883" w:rsidRDefault="00CA2262" w:rsidP="00741FD9">
      <w:pPr>
        <w:pStyle w:val="PargrafodaLista"/>
        <w:spacing w:after="0" w:line="240" w:lineRule="auto"/>
        <w:ind w:left="-567" w:right="-568"/>
        <w:rPr>
          <w:rFonts w:ascii="Times New Roman" w:hAnsi="Times New Roman" w:cs="Times New Roman"/>
          <w:b/>
          <w:sz w:val="24"/>
          <w:szCs w:val="24"/>
        </w:rPr>
      </w:pPr>
      <w:r w:rsidRPr="00667883">
        <w:rPr>
          <w:rFonts w:ascii="Times New Roman" w:hAnsi="Times New Roman" w:cs="Times New Roman"/>
          <w:b/>
          <w:sz w:val="24"/>
          <w:szCs w:val="24"/>
        </w:rPr>
        <w:t>PÓS-MILENISMO DE WHITBY NO SÉCULO 18</w:t>
      </w:r>
    </w:p>
    <w:p w14:paraId="67B43067" w14:textId="77777777" w:rsidR="00CA2262" w:rsidRPr="00667883" w:rsidRDefault="00CA2262"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O pós-milenismo, introduzido por Daniel </w:t>
      </w:r>
      <w:proofErr w:type="spellStart"/>
      <w:r w:rsidRPr="00667883">
        <w:rPr>
          <w:rFonts w:ascii="Times New Roman" w:hAnsi="Times New Roman" w:cs="Times New Roman"/>
          <w:sz w:val="24"/>
          <w:szCs w:val="24"/>
        </w:rPr>
        <w:t>Whitby</w:t>
      </w:r>
      <w:proofErr w:type="spellEnd"/>
      <w:r w:rsidRPr="00667883">
        <w:rPr>
          <w:rFonts w:ascii="Times New Roman" w:hAnsi="Times New Roman" w:cs="Times New Roman"/>
          <w:sz w:val="24"/>
          <w:szCs w:val="24"/>
        </w:rPr>
        <w:t xml:space="preserve"> em 1703, afirma que o segundo advento só ocorrerá depois de mil anos — literais ou não - de melhoria do mundo, com paz crescente, justiça e conversão do mundo. Pela eliminação da guerra e do mal, o mundo, assim como a igreja, iniciará a idade áurea. O pós-milenismo sustenta que o milênio virá sem intervenção direta de Deus, sem nenhum acontecimento catastrófico, simplesmente pela atuação do Espírito Santo mediante o evangelho e os meios comuns da graça. Será estabelecido no mundo um governo verdadeiramente cristão, com a derrota definitiva de Satanás. Durante esse tempo, os judeus se converterão, mas não necessariamente com a restauração nacional na Palestina. </w:t>
      </w:r>
    </w:p>
    <w:p w14:paraId="06B1D4E9" w14:textId="77777777" w:rsidR="00CA2262" w:rsidRPr="00667883" w:rsidRDefault="00CA2262"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Foi profundo o efeito dessa nova hipótese sobre o protestantismo. Quando os homens começaram a contemplar um grande panorama de paz e segurança, deixaram de estar ansiosos pelo segundo advento, chegando a substituir a volta de Cristo pela expectativa da morte. E essa cativante teoria pós-milênio estendeu-se como vagalhão sobre o protestantismo europeu. Introduzida na América por Jonathan Edwards e Samuel Hopkins, tornou-se a ideia dominante por volta de 1800. </w:t>
      </w:r>
    </w:p>
    <w:p w14:paraId="6F419AED" w14:textId="77777777" w:rsidR="00CA2262" w:rsidRPr="00667883" w:rsidRDefault="00CA2262"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Os pós-milenistas afirmam que o "aprisionamento" e a "soltura" de Satanás são linguagem figurada — a limitação do poder de Satanás e um possível aumento desse poder pouco antes do aparecimento de Cristo. Mas, depois de derramadas as taças da ira de Deus, os ímpios que restarem serão destruídos. Então, será estabelecido o reino eterno. O fato de que o evangelho já tenha sido vastamente pregado e aceito confere plausibilidade à opinião de que o mesmo processo prosseguirá de maneira ampliada, até que o mundo esteja evangelizado e cristianizado. </w:t>
      </w:r>
    </w:p>
    <w:p w14:paraId="5AC704DC" w14:textId="503235A0" w:rsidR="00CA2262" w:rsidRPr="00C22256" w:rsidRDefault="00CA2262" w:rsidP="00741FD9">
      <w:pPr>
        <w:spacing w:line="240" w:lineRule="auto"/>
        <w:ind w:left="-567" w:right="-568"/>
        <w:jc w:val="both"/>
        <w:rPr>
          <w:rFonts w:ascii="Times New Roman" w:hAnsi="Times New Roman" w:cs="Times New Roman"/>
          <w:b/>
          <w:bCs/>
          <w:i/>
          <w:iCs/>
          <w:color w:val="FF0000"/>
          <w:sz w:val="24"/>
          <w:szCs w:val="24"/>
        </w:rPr>
      </w:pPr>
      <w:r w:rsidRPr="00667883">
        <w:rPr>
          <w:rFonts w:ascii="Times New Roman" w:hAnsi="Times New Roman" w:cs="Times New Roman"/>
          <w:sz w:val="24"/>
          <w:szCs w:val="24"/>
        </w:rPr>
        <w:t xml:space="preserve">O pós-milenismo "otimista", que mais tarde se vinculou com a teoria da evolução e do progresso humano, por muito tempo censurou o pré-milenismo por seu "pessimismo". Antes da Primeira Guerra </w:t>
      </w:r>
      <w:r w:rsidRPr="00667883">
        <w:rPr>
          <w:rFonts w:ascii="Times New Roman" w:hAnsi="Times New Roman" w:cs="Times New Roman"/>
          <w:sz w:val="24"/>
          <w:szCs w:val="24"/>
        </w:rPr>
        <w:lastRenderedPageBreak/>
        <w:t>Mundial, os pós-milenistas declaravam que a humanidade fizera progressos demasiados para que houvesse outra guerra. Porém, mesmo enquanto os defensores de tão rósea filosofia negavam as claras afirmações da Palavra, desabaram as mais horríveis catástrofes de todos os tempos. Os acontecimentos das últimas décadas, a partir da Primeira Guerra Mundial, inclusive a impotente Liga das Nações, a Segunda Guerra Mundial e sua sequela, revelaram a falsidade de semelhante raciocínio e têm desmentido essas pretensões. O pós-</w:t>
      </w:r>
      <w:proofErr w:type="spellStart"/>
      <w:r w:rsidRPr="00667883">
        <w:rPr>
          <w:rFonts w:ascii="Times New Roman" w:hAnsi="Times New Roman" w:cs="Times New Roman"/>
          <w:sz w:val="24"/>
          <w:szCs w:val="24"/>
        </w:rPr>
        <w:t>milenismo</w:t>
      </w:r>
      <w:proofErr w:type="spellEnd"/>
      <w:r w:rsidRPr="00667883">
        <w:rPr>
          <w:rFonts w:ascii="Times New Roman" w:hAnsi="Times New Roman" w:cs="Times New Roman"/>
          <w:sz w:val="24"/>
          <w:szCs w:val="24"/>
        </w:rPr>
        <w:t xml:space="preserve"> de </w:t>
      </w:r>
      <w:proofErr w:type="spellStart"/>
      <w:r w:rsidRPr="00667883">
        <w:rPr>
          <w:rFonts w:ascii="Times New Roman" w:hAnsi="Times New Roman" w:cs="Times New Roman"/>
          <w:sz w:val="24"/>
          <w:szCs w:val="24"/>
        </w:rPr>
        <w:t>Whitby</w:t>
      </w:r>
      <w:proofErr w:type="spellEnd"/>
      <w:r w:rsidRPr="00667883">
        <w:rPr>
          <w:rFonts w:ascii="Times New Roman" w:hAnsi="Times New Roman" w:cs="Times New Roman"/>
          <w:sz w:val="24"/>
          <w:szCs w:val="24"/>
        </w:rPr>
        <w:t xml:space="preserve"> está hoje falido.</w:t>
      </w:r>
      <w:r w:rsidR="00C25F9D" w:rsidRPr="00667883">
        <w:rPr>
          <w:rFonts w:ascii="Times New Roman" w:hAnsi="Times New Roman" w:cs="Times New Roman"/>
          <w:sz w:val="24"/>
          <w:szCs w:val="24"/>
        </w:rPr>
        <w:t xml:space="preserve"> </w:t>
      </w:r>
      <w:r w:rsidR="00992AC2">
        <w:rPr>
          <w:rFonts w:ascii="Times New Roman" w:hAnsi="Times New Roman" w:cs="Times New Roman"/>
          <w:b/>
          <w:bCs/>
          <w:i/>
          <w:iCs/>
          <w:color w:val="FF0000"/>
          <w:sz w:val="24"/>
          <w:szCs w:val="24"/>
        </w:rPr>
        <w:t>[12]</w:t>
      </w:r>
      <w:r w:rsidR="00C25F9D" w:rsidRPr="00C22256">
        <w:rPr>
          <w:rFonts w:ascii="Times New Roman" w:hAnsi="Times New Roman" w:cs="Times New Roman"/>
          <w:b/>
          <w:bCs/>
          <w:i/>
          <w:iCs/>
          <w:color w:val="FF0000"/>
          <w:sz w:val="24"/>
          <w:szCs w:val="24"/>
        </w:rPr>
        <w:t>.</w:t>
      </w:r>
      <w:r w:rsidRPr="00C22256">
        <w:rPr>
          <w:rFonts w:ascii="Times New Roman" w:hAnsi="Times New Roman" w:cs="Times New Roman"/>
          <w:b/>
          <w:bCs/>
          <w:i/>
          <w:iCs/>
          <w:color w:val="FF0000"/>
          <w:sz w:val="24"/>
          <w:szCs w:val="24"/>
        </w:rPr>
        <w:t xml:space="preserve">  </w:t>
      </w:r>
    </w:p>
    <w:p w14:paraId="09296FF4" w14:textId="77777777" w:rsidR="00AD14C0" w:rsidRPr="00667883" w:rsidRDefault="00AD14C0" w:rsidP="00741FD9">
      <w:pPr>
        <w:pStyle w:val="PargrafodaLista"/>
        <w:tabs>
          <w:tab w:val="left" w:pos="142"/>
        </w:tabs>
        <w:spacing w:after="0" w:line="240" w:lineRule="auto"/>
        <w:ind w:left="-567" w:right="-568"/>
        <w:rPr>
          <w:rFonts w:ascii="Times New Roman" w:hAnsi="Times New Roman" w:cs="Times New Roman"/>
          <w:b/>
          <w:sz w:val="24"/>
          <w:szCs w:val="24"/>
        </w:rPr>
      </w:pPr>
      <w:r w:rsidRPr="00667883">
        <w:rPr>
          <w:rFonts w:ascii="Times New Roman" w:hAnsi="Times New Roman" w:cs="Times New Roman"/>
          <w:b/>
          <w:sz w:val="24"/>
          <w:szCs w:val="24"/>
        </w:rPr>
        <w:t>RESSURGE O PRÉ-MILENISMO NO SÉCULO 19</w:t>
      </w:r>
    </w:p>
    <w:p w14:paraId="2A05086C" w14:textId="61A7AB3D" w:rsidR="00BA4A3E" w:rsidRPr="00525DBD" w:rsidRDefault="00BA4A3E" w:rsidP="00741FD9">
      <w:pPr>
        <w:tabs>
          <w:tab w:val="left" w:pos="284"/>
        </w:tabs>
        <w:spacing w:line="240" w:lineRule="auto"/>
        <w:ind w:left="-567" w:right="-568"/>
        <w:jc w:val="both"/>
        <w:rPr>
          <w:rFonts w:ascii="Times New Roman" w:hAnsi="Times New Roman" w:cs="Times New Roman"/>
          <w:color w:val="FF0000"/>
          <w:sz w:val="24"/>
          <w:szCs w:val="24"/>
        </w:rPr>
      </w:pPr>
      <w:r w:rsidRPr="00667883">
        <w:rPr>
          <w:rFonts w:ascii="Times New Roman" w:hAnsi="Times New Roman" w:cs="Times New Roman"/>
          <w:b/>
          <w:sz w:val="24"/>
          <w:szCs w:val="24"/>
        </w:rPr>
        <w:t>1. Revive o Pré-Milenismo</w:t>
      </w:r>
      <w:r w:rsidRPr="00667883">
        <w:rPr>
          <w:rFonts w:ascii="Times New Roman" w:hAnsi="Times New Roman" w:cs="Times New Roman"/>
          <w:sz w:val="24"/>
          <w:szCs w:val="24"/>
        </w:rPr>
        <w:t>: No princípio do século 19 houve um ressurgimento do pré-milenismo no vasto despertar adventista do Mundo Antigo (Europa) e no movimento adventista do Novo Mundo. (</w:t>
      </w:r>
      <w:r w:rsidR="00E77CBF" w:rsidRPr="00667883">
        <w:rPr>
          <w:rFonts w:ascii="Times New Roman" w:hAnsi="Times New Roman" w:cs="Times New Roman"/>
          <w:sz w:val="24"/>
          <w:szCs w:val="24"/>
        </w:rPr>
        <w:t>América</w:t>
      </w:r>
      <w:r w:rsidRPr="00667883">
        <w:rPr>
          <w:rFonts w:ascii="Times New Roman" w:hAnsi="Times New Roman" w:cs="Times New Roman"/>
          <w:sz w:val="24"/>
          <w:szCs w:val="24"/>
        </w:rPr>
        <w:t>) Trezentos clérigos anglicanos e setecentos clérigos não-conformistas da Inglaterra — além de muitos outros no continente, no Norte da África e na Índia — acentuavam a breve destruição do papado e do Império Turco, a primeira ressurreição literal e a trasladação dos santos por ocasião do segundo advento, assinalando o princípio do milênio, com a segunda ressurreição no seu término. Alguns mantinham que o juízo precedia o advento, seguido pela renovação da Terra no fim do milênio. Outro ponto de vista foi amplamente divulgado: o domínio antecipado seria exercido pelos judeus na Terra, estando a igreja no Céu, ou pelo menos num estado glorificado.</w:t>
      </w:r>
      <w:r w:rsidR="00027BDF">
        <w:rPr>
          <w:rFonts w:ascii="Times New Roman" w:hAnsi="Times New Roman" w:cs="Times New Roman"/>
          <w:sz w:val="24"/>
          <w:szCs w:val="24"/>
        </w:rPr>
        <w:t xml:space="preserve"> </w:t>
      </w:r>
      <w:r w:rsidRPr="00667883">
        <w:rPr>
          <w:rFonts w:ascii="Times New Roman" w:hAnsi="Times New Roman" w:cs="Times New Roman"/>
          <w:sz w:val="24"/>
          <w:szCs w:val="24"/>
        </w:rPr>
        <w:t xml:space="preserve">Esses </w:t>
      </w:r>
      <w:proofErr w:type="spellStart"/>
      <w:r w:rsidRPr="00667883">
        <w:rPr>
          <w:rFonts w:ascii="Times New Roman" w:hAnsi="Times New Roman" w:cs="Times New Roman"/>
          <w:sz w:val="24"/>
          <w:szCs w:val="24"/>
        </w:rPr>
        <w:t>pré-milenistas</w:t>
      </w:r>
      <w:proofErr w:type="spellEnd"/>
      <w:r w:rsidRPr="00667883">
        <w:rPr>
          <w:rFonts w:ascii="Times New Roman" w:hAnsi="Times New Roman" w:cs="Times New Roman"/>
          <w:sz w:val="24"/>
          <w:szCs w:val="24"/>
        </w:rPr>
        <w:t xml:space="preserve"> eram chamados literalistas, em contraste com os </w:t>
      </w:r>
      <w:proofErr w:type="spellStart"/>
      <w:r w:rsidRPr="00AA125B">
        <w:rPr>
          <w:rFonts w:ascii="Times New Roman" w:hAnsi="Times New Roman" w:cs="Times New Roman"/>
          <w:color w:val="C00000"/>
          <w:sz w:val="24"/>
          <w:szCs w:val="24"/>
        </w:rPr>
        <w:t>espiritualizadores</w:t>
      </w:r>
      <w:proofErr w:type="spellEnd"/>
      <w:r w:rsidRPr="00667883">
        <w:rPr>
          <w:rFonts w:ascii="Times New Roman" w:hAnsi="Times New Roman" w:cs="Times New Roman"/>
          <w:sz w:val="24"/>
          <w:szCs w:val="24"/>
        </w:rPr>
        <w:t xml:space="preserve"> pós-</w:t>
      </w:r>
      <w:proofErr w:type="spellStart"/>
      <w:r w:rsidRPr="00667883">
        <w:rPr>
          <w:rFonts w:ascii="Times New Roman" w:hAnsi="Times New Roman" w:cs="Times New Roman"/>
          <w:sz w:val="24"/>
          <w:szCs w:val="24"/>
        </w:rPr>
        <w:t>milenistas</w:t>
      </w:r>
      <w:proofErr w:type="spellEnd"/>
      <w:r w:rsidRPr="00667883">
        <w:rPr>
          <w:rFonts w:ascii="Times New Roman" w:hAnsi="Times New Roman" w:cs="Times New Roman"/>
          <w:sz w:val="24"/>
          <w:szCs w:val="24"/>
        </w:rPr>
        <w:t xml:space="preserve">. Esses pré-milenistas, que a princípio eram historicistas, sustentavam que, antes do segundo advento, o anticristo reuniria seus seguidores para um derradeiro ataque ao povo de Deus e instituiria uma horrível tribulação, pela qual a igreja teria de passar. Então, no fim da tribulação, Cristo apareceria. Os mortos em Cristo ressuscitariam primeiro, numa ressurreição literal, e os santos vivos seriam trasladados e arrebatados para encontrarem o Senhor nos ares. Afinal, terminado o milênio, Satanás seria solto e reuniria as nações para guerrearem contra os santos. Mas todos seriam destruídos pelo fogo do céu. </w:t>
      </w:r>
      <w:r w:rsidR="00525DBD" w:rsidRPr="00525DBD">
        <w:rPr>
          <w:rFonts w:ascii="Times New Roman" w:hAnsi="Times New Roman" w:cs="Times New Roman"/>
          <w:color w:val="FF0000"/>
          <w:sz w:val="24"/>
          <w:szCs w:val="24"/>
        </w:rPr>
        <w:t>[13]</w:t>
      </w:r>
      <w:r w:rsidR="00525DBD">
        <w:rPr>
          <w:rFonts w:ascii="Times New Roman" w:hAnsi="Times New Roman" w:cs="Times New Roman"/>
          <w:color w:val="FF0000"/>
          <w:sz w:val="24"/>
          <w:szCs w:val="24"/>
        </w:rPr>
        <w:t xml:space="preserve"> </w:t>
      </w:r>
      <w:bookmarkStart w:id="2" w:name="_Hlk80613132"/>
    </w:p>
    <w:bookmarkEnd w:id="2"/>
    <w:p w14:paraId="5A5B9CB9" w14:textId="77777777" w:rsidR="00BA4A3E" w:rsidRPr="00926DEC" w:rsidRDefault="00BA4A3E" w:rsidP="00741FD9">
      <w:pPr>
        <w:pStyle w:val="PargrafodaLista"/>
        <w:tabs>
          <w:tab w:val="left" w:pos="284"/>
        </w:tabs>
        <w:spacing w:line="240" w:lineRule="auto"/>
        <w:ind w:left="-567" w:right="-568"/>
        <w:jc w:val="both"/>
        <w:rPr>
          <w:rFonts w:ascii="Times New Roman" w:hAnsi="Times New Roman" w:cs="Times New Roman"/>
          <w:sz w:val="24"/>
          <w:szCs w:val="24"/>
        </w:rPr>
      </w:pPr>
      <w:r w:rsidRPr="00667883">
        <w:rPr>
          <w:rFonts w:ascii="Times New Roman" w:hAnsi="Times New Roman" w:cs="Times New Roman"/>
          <w:b/>
          <w:sz w:val="24"/>
          <w:szCs w:val="24"/>
        </w:rPr>
        <w:t>2. O Arrebatamento Secreto Introduzido na Inglaterra</w:t>
      </w:r>
      <w:r w:rsidRPr="00667883">
        <w:rPr>
          <w:rFonts w:ascii="Times New Roman" w:hAnsi="Times New Roman" w:cs="Times New Roman"/>
          <w:sz w:val="24"/>
          <w:szCs w:val="24"/>
        </w:rPr>
        <w:t xml:space="preserve">: </w:t>
      </w:r>
      <w:r w:rsidRPr="00926DEC">
        <w:rPr>
          <w:rFonts w:ascii="Times New Roman" w:hAnsi="Times New Roman" w:cs="Times New Roman"/>
          <w:sz w:val="24"/>
          <w:szCs w:val="24"/>
        </w:rPr>
        <w:t xml:space="preserve">Cedo se introduziram inovações radicais, quando Edward Irving e outros adotaram o futurismo. A Igreja Católica Apostólica, fundada em 1832 por Irving (alegando promover o reavivamento do apostolado, da profecia e do falar línguas), introduziu o conceito de um "arrebatamento secreto", e um novo sacramento - o "selamento". Babilônia, sustentavam eles, era a igreja corrupta, já agora madura para o juízo. A grande tribulação viria entre a ressurreição dos justos e o "arrebatamento" dos santos, bem como a destruição de Satanás, seguida do reino milenar de Cristo e Seus santos na Terra. </w:t>
      </w:r>
    </w:p>
    <w:p w14:paraId="07985527" w14:textId="739F6C32" w:rsidR="00BA4A3E" w:rsidRPr="00926DEC" w:rsidRDefault="00BA4A3E" w:rsidP="00741FD9">
      <w:pPr>
        <w:pStyle w:val="PargrafodaLista"/>
        <w:tabs>
          <w:tab w:val="left" w:pos="284"/>
        </w:tabs>
        <w:spacing w:line="240" w:lineRule="auto"/>
        <w:ind w:left="-567" w:right="-568"/>
        <w:jc w:val="both"/>
        <w:rPr>
          <w:rFonts w:ascii="Times New Roman" w:hAnsi="Times New Roman" w:cs="Times New Roman"/>
          <w:i/>
          <w:iCs/>
          <w:color w:val="FF0000"/>
          <w:sz w:val="24"/>
          <w:szCs w:val="24"/>
        </w:rPr>
      </w:pPr>
      <w:r w:rsidRPr="00926DEC">
        <w:rPr>
          <w:rFonts w:ascii="Times New Roman" w:hAnsi="Times New Roman" w:cs="Times New Roman"/>
          <w:sz w:val="24"/>
          <w:szCs w:val="24"/>
        </w:rPr>
        <w:t xml:space="preserve">Ao mesmo tempo, os Irmãos Plymouth, seguindo J. N. </w:t>
      </w:r>
      <w:proofErr w:type="spellStart"/>
      <w:r w:rsidRPr="00926DEC">
        <w:rPr>
          <w:rFonts w:ascii="Times New Roman" w:hAnsi="Times New Roman" w:cs="Times New Roman"/>
          <w:sz w:val="24"/>
          <w:szCs w:val="24"/>
        </w:rPr>
        <w:t>Darby</w:t>
      </w:r>
      <w:proofErr w:type="spellEnd"/>
      <w:r w:rsidRPr="00926DEC">
        <w:rPr>
          <w:rFonts w:ascii="Times New Roman" w:hAnsi="Times New Roman" w:cs="Times New Roman"/>
          <w:sz w:val="24"/>
          <w:szCs w:val="24"/>
        </w:rPr>
        <w:t xml:space="preserve">, ensinavam semelhantemente um arrebatamento pré-tribulação como o início da vinda de Cristo para Seus santos. Colocavam o anticristo e sua perseguição de três anos e meio depois da vinda de Cristo para a primeira ressurreição, na adiada septuagésima semana, em cujo fim haveria outra vinda visível, ou "revelação", de Cristo com Seus santos, para julgamento das nações vivas. Enquanto os seguidores de Irving criam que um "selamento" proveria o escape da grande tribulação, </w:t>
      </w:r>
      <w:proofErr w:type="spellStart"/>
      <w:r w:rsidRPr="00926DEC">
        <w:rPr>
          <w:rFonts w:ascii="Times New Roman" w:hAnsi="Times New Roman" w:cs="Times New Roman"/>
          <w:sz w:val="24"/>
          <w:szCs w:val="24"/>
        </w:rPr>
        <w:t>Darby</w:t>
      </w:r>
      <w:proofErr w:type="spellEnd"/>
      <w:r w:rsidRPr="00926DEC">
        <w:rPr>
          <w:rFonts w:ascii="Times New Roman" w:hAnsi="Times New Roman" w:cs="Times New Roman"/>
          <w:sz w:val="24"/>
          <w:szCs w:val="24"/>
        </w:rPr>
        <w:t xml:space="preserve"> declarava que nenhum cristão haveria de sofrê-la. A </w:t>
      </w:r>
      <w:proofErr w:type="spellStart"/>
      <w:r w:rsidRPr="00926DEC">
        <w:rPr>
          <w:rFonts w:ascii="Times New Roman" w:hAnsi="Times New Roman" w:cs="Times New Roman"/>
          <w:sz w:val="24"/>
          <w:szCs w:val="24"/>
        </w:rPr>
        <w:t>Darby</w:t>
      </w:r>
      <w:proofErr w:type="spellEnd"/>
      <w:r w:rsidRPr="00926DEC">
        <w:rPr>
          <w:rFonts w:ascii="Times New Roman" w:hAnsi="Times New Roman" w:cs="Times New Roman"/>
          <w:sz w:val="24"/>
          <w:szCs w:val="24"/>
        </w:rPr>
        <w:t xml:space="preserve"> também se deve a introdução do dispensacionalismo, embora não lhe fosse inteiramente novo. Os ensinos desses dois grupos - os seguidores de Irving e os de </w:t>
      </w:r>
      <w:proofErr w:type="spellStart"/>
      <w:r w:rsidRPr="00926DEC">
        <w:rPr>
          <w:rFonts w:ascii="Times New Roman" w:hAnsi="Times New Roman" w:cs="Times New Roman"/>
          <w:sz w:val="24"/>
          <w:szCs w:val="24"/>
        </w:rPr>
        <w:t>Darby</w:t>
      </w:r>
      <w:proofErr w:type="spellEnd"/>
      <w:r w:rsidRPr="00926DEC">
        <w:rPr>
          <w:rFonts w:ascii="Times New Roman" w:hAnsi="Times New Roman" w:cs="Times New Roman"/>
          <w:sz w:val="24"/>
          <w:szCs w:val="24"/>
        </w:rPr>
        <w:t xml:space="preserve">, especialmente deste último - têm influenciado profundamente o </w:t>
      </w:r>
      <w:proofErr w:type="spellStart"/>
      <w:r w:rsidRPr="00926DEC">
        <w:rPr>
          <w:rFonts w:ascii="Times New Roman" w:hAnsi="Times New Roman" w:cs="Times New Roman"/>
          <w:sz w:val="24"/>
          <w:szCs w:val="24"/>
        </w:rPr>
        <w:t>pré-milenismo</w:t>
      </w:r>
      <w:proofErr w:type="spellEnd"/>
      <w:r w:rsidRPr="00926DEC">
        <w:rPr>
          <w:rFonts w:ascii="Times New Roman" w:hAnsi="Times New Roman" w:cs="Times New Roman"/>
          <w:sz w:val="24"/>
          <w:szCs w:val="24"/>
        </w:rPr>
        <w:t xml:space="preserve"> fundamentalista da atualidade</w:t>
      </w:r>
      <w:r w:rsidR="00572CD1" w:rsidRPr="00926DEC">
        <w:rPr>
          <w:rFonts w:ascii="Times New Roman" w:hAnsi="Times New Roman" w:cs="Times New Roman"/>
          <w:sz w:val="24"/>
          <w:szCs w:val="24"/>
        </w:rPr>
        <w:t xml:space="preserve">. </w:t>
      </w:r>
      <w:r w:rsidR="00C5772F" w:rsidRPr="00926DEC">
        <w:rPr>
          <w:rFonts w:ascii="Times New Roman" w:hAnsi="Times New Roman" w:cs="Times New Roman"/>
          <w:color w:val="FF0000"/>
          <w:sz w:val="24"/>
          <w:szCs w:val="24"/>
        </w:rPr>
        <w:t xml:space="preserve">[14]  </w:t>
      </w:r>
    </w:p>
    <w:p w14:paraId="4F39B000" w14:textId="77777777" w:rsidR="00C1211F" w:rsidRPr="00C22256" w:rsidRDefault="00C1211F" w:rsidP="00741FD9">
      <w:pPr>
        <w:pStyle w:val="PargrafodaLista"/>
        <w:tabs>
          <w:tab w:val="left" w:pos="284"/>
        </w:tabs>
        <w:spacing w:line="240" w:lineRule="auto"/>
        <w:ind w:left="-567" w:right="-568"/>
        <w:jc w:val="both"/>
        <w:rPr>
          <w:rFonts w:ascii="Times New Roman" w:hAnsi="Times New Roman" w:cs="Times New Roman"/>
          <w:color w:val="FF0000"/>
          <w:sz w:val="24"/>
          <w:szCs w:val="24"/>
        </w:rPr>
      </w:pPr>
    </w:p>
    <w:p w14:paraId="3049B908" w14:textId="7321C50A" w:rsidR="00C1211F" w:rsidRPr="00667883" w:rsidRDefault="00C1211F" w:rsidP="00741FD9">
      <w:pPr>
        <w:pStyle w:val="PargrafodaLista"/>
        <w:tabs>
          <w:tab w:val="left" w:pos="142"/>
        </w:tabs>
        <w:spacing w:after="0" w:line="240" w:lineRule="auto"/>
        <w:ind w:left="-567" w:right="-568"/>
        <w:rPr>
          <w:rFonts w:ascii="Times New Roman" w:hAnsi="Times New Roman" w:cs="Times New Roman"/>
          <w:b/>
          <w:sz w:val="24"/>
          <w:szCs w:val="24"/>
        </w:rPr>
      </w:pPr>
      <w:r w:rsidRPr="00667883">
        <w:rPr>
          <w:rFonts w:ascii="Times New Roman" w:hAnsi="Times New Roman" w:cs="Times New Roman"/>
          <w:b/>
          <w:sz w:val="24"/>
          <w:szCs w:val="24"/>
        </w:rPr>
        <w:t>O PRÉ-MILENISMO AMERICANO DO SÉCULO 19</w:t>
      </w:r>
    </w:p>
    <w:p w14:paraId="4F1EA205" w14:textId="43B830D8" w:rsidR="00926DEC" w:rsidRPr="00926DEC" w:rsidRDefault="00D9664D" w:rsidP="00741FD9">
      <w:pPr>
        <w:spacing w:line="240" w:lineRule="auto"/>
        <w:ind w:left="-567" w:right="-568"/>
        <w:jc w:val="both"/>
        <w:rPr>
          <w:rFonts w:ascii="Times New Roman" w:hAnsi="Times New Roman" w:cs="Times New Roman"/>
          <w:b/>
          <w:bCs/>
          <w:i/>
          <w:iCs/>
          <w:color w:val="FF0000"/>
          <w:sz w:val="24"/>
          <w:szCs w:val="24"/>
        </w:rPr>
      </w:pPr>
      <w:r w:rsidRPr="00926DEC">
        <w:rPr>
          <w:rFonts w:ascii="Times New Roman" w:hAnsi="Times New Roman" w:cs="Times New Roman"/>
          <w:bCs/>
          <w:sz w:val="24"/>
          <w:szCs w:val="24"/>
        </w:rPr>
        <w:t>Na América do Norte, o novo pré-milenismo opôs-se vigorosamente ao pós-milenismo fortemente entrincheirado que florescia no Novo Mundo, com seu ambiente de reforma, utopismo e róseo e generalizado otimismo quanto à perfectibilidade do ser humano.</w:t>
      </w:r>
      <w:r w:rsidR="00926DEC">
        <w:rPr>
          <w:rFonts w:ascii="Times New Roman" w:hAnsi="Times New Roman" w:cs="Times New Roman"/>
          <w:bCs/>
          <w:sz w:val="24"/>
          <w:szCs w:val="24"/>
        </w:rPr>
        <w:t xml:space="preserve"> </w:t>
      </w:r>
      <w:r w:rsidR="00926DEC" w:rsidRPr="00926DEC">
        <w:rPr>
          <w:rFonts w:ascii="Times New Roman" w:hAnsi="Times New Roman" w:cs="Times New Roman"/>
          <w:bCs/>
          <w:color w:val="FF0000"/>
          <w:sz w:val="24"/>
          <w:szCs w:val="24"/>
        </w:rPr>
        <w:t xml:space="preserve">[15] </w:t>
      </w:r>
      <w:r w:rsidR="00926DEC">
        <w:rPr>
          <w:rFonts w:ascii="Times New Roman" w:hAnsi="Times New Roman" w:cs="Times New Roman"/>
          <w:bCs/>
          <w:color w:val="FF0000"/>
          <w:sz w:val="24"/>
          <w:szCs w:val="24"/>
        </w:rPr>
        <w:t xml:space="preserve">  </w:t>
      </w:r>
    </w:p>
    <w:p w14:paraId="5B47419C" w14:textId="77777777" w:rsidR="00D9664D" w:rsidRPr="00667883" w:rsidRDefault="00D9664D" w:rsidP="00741FD9">
      <w:pPr>
        <w:pStyle w:val="PargrafodaLista"/>
        <w:numPr>
          <w:ilvl w:val="0"/>
          <w:numId w:val="8"/>
        </w:numPr>
        <w:spacing w:after="0" w:line="240" w:lineRule="auto"/>
        <w:ind w:left="-567" w:right="-568" w:firstLine="0"/>
        <w:jc w:val="both"/>
        <w:rPr>
          <w:rFonts w:ascii="Times New Roman" w:hAnsi="Times New Roman" w:cs="Times New Roman"/>
          <w:sz w:val="24"/>
          <w:szCs w:val="24"/>
        </w:rPr>
      </w:pPr>
      <w:r w:rsidRPr="00667883">
        <w:rPr>
          <w:rFonts w:ascii="Times New Roman" w:hAnsi="Times New Roman" w:cs="Times New Roman"/>
          <w:b/>
          <w:sz w:val="24"/>
          <w:szCs w:val="24"/>
        </w:rPr>
        <w:t>Movimento Adventista Pré-Milenial do Novo Mundo</w:t>
      </w:r>
      <w:r w:rsidRPr="00667883">
        <w:rPr>
          <w:rFonts w:ascii="Times New Roman" w:hAnsi="Times New Roman" w:cs="Times New Roman"/>
          <w:sz w:val="24"/>
          <w:szCs w:val="24"/>
        </w:rPr>
        <w:t xml:space="preserve">. </w:t>
      </w:r>
    </w:p>
    <w:p w14:paraId="57ACEB97" w14:textId="209BD976" w:rsidR="00D9664D" w:rsidRPr="00667883" w:rsidRDefault="00D9664D"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O vasto movimento do advento do Novo Mundo,</w:t>
      </w:r>
      <w:r w:rsidR="00D101A0">
        <w:rPr>
          <w:rFonts w:ascii="Times New Roman" w:hAnsi="Times New Roman" w:cs="Times New Roman"/>
          <w:sz w:val="24"/>
          <w:szCs w:val="24"/>
        </w:rPr>
        <w:t xml:space="preserve"> (</w:t>
      </w:r>
      <w:proofErr w:type="spellStart"/>
      <w:r w:rsidR="00D101A0">
        <w:rPr>
          <w:rFonts w:ascii="Times New Roman" w:hAnsi="Times New Roman" w:cs="Times New Roman"/>
          <w:sz w:val="24"/>
          <w:szCs w:val="24"/>
        </w:rPr>
        <w:t>America</w:t>
      </w:r>
      <w:proofErr w:type="spellEnd"/>
      <w:r w:rsidR="00D101A0">
        <w:rPr>
          <w:rFonts w:ascii="Times New Roman" w:hAnsi="Times New Roman" w:cs="Times New Roman"/>
          <w:sz w:val="24"/>
          <w:szCs w:val="24"/>
        </w:rPr>
        <w:t>)</w:t>
      </w:r>
      <w:r w:rsidRPr="00667883">
        <w:rPr>
          <w:rFonts w:ascii="Times New Roman" w:hAnsi="Times New Roman" w:cs="Times New Roman"/>
          <w:sz w:val="24"/>
          <w:szCs w:val="24"/>
        </w:rPr>
        <w:t xml:space="preserve"> na quarta e na quinta décadas do século 19, congênere do despertar do Velho Mundo,</w:t>
      </w:r>
      <w:r w:rsidR="00D101A0">
        <w:rPr>
          <w:rFonts w:ascii="Times New Roman" w:hAnsi="Times New Roman" w:cs="Times New Roman"/>
          <w:sz w:val="24"/>
          <w:szCs w:val="24"/>
        </w:rPr>
        <w:t xml:space="preserve"> (Europa)</w:t>
      </w:r>
      <w:r w:rsidRPr="00667883">
        <w:rPr>
          <w:rFonts w:ascii="Times New Roman" w:hAnsi="Times New Roman" w:cs="Times New Roman"/>
          <w:sz w:val="24"/>
          <w:szCs w:val="24"/>
        </w:rPr>
        <w:t xml:space="preserve"> foi dirigido por cerca de mil arautos pré-milenistas. Foi um movimento interdenominacional, superando o do Velho Mundo em extensão, intensidade e clareza. Ele incluía o movimento milerita, com 100.000 adeptos aproximadamente. </w:t>
      </w:r>
      <w:r w:rsidRPr="00667883">
        <w:rPr>
          <w:rFonts w:ascii="Times New Roman" w:hAnsi="Times New Roman" w:cs="Times New Roman"/>
          <w:sz w:val="24"/>
          <w:szCs w:val="24"/>
        </w:rPr>
        <w:lastRenderedPageBreak/>
        <w:t>Todos, inclusive os literalistas, eram ardorosos pré-milenistas, sustentando que o período milenial seria introduzido pelo segundo e pessoal advento de Cristo, e limitado pelas duas ressurreições literais.</w:t>
      </w:r>
    </w:p>
    <w:p w14:paraId="1319546E" w14:textId="77777777" w:rsidR="00D9664D" w:rsidRPr="00667883" w:rsidRDefault="00D9664D" w:rsidP="00741FD9">
      <w:pPr>
        <w:pStyle w:val="PargrafodaLista"/>
        <w:numPr>
          <w:ilvl w:val="0"/>
          <w:numId w:val="9"/>
        </w:numPr>
        <w:spacing w:after="0" w:line="240" w:lineRule="auto"/>
        <w:ind w:left="-567" w:right="-568" w:firstLine="0"/>
        <w:jc w:val="both"/>
        <w:rPr>
          <w:rFonts w:ascii="Times New Roman" w:hAnsi="Times New Roman" w:cs="Times New Roman"/>
          <w:b/>
          <w:sz w:val="24"/>
          <w:szCs w:val="24"/>
        </w:rPr>
      </w:pPr>
      <w:r w:rsidRPr="00667883">
        <w:rPr>
          <w:rFonts w:ascii="Times New Roman" w:hAnsi="Times New Roman" w:cs="Times New Roman"/>
          <w:b/>
          <w:sz w:val="24"/>
          <w:szCs w:val="24"/>
        </w:rPr>
        <w:t xml:space="preserve">Os Mileritas Introduzem Novo Conceito Acerca do Milênio. </w:t>
      </w:r>
    </w:p>
    <w:p w14:paraId="4DC8BF80" w14:textId="77777777" w:rsidR="00D9664D" w:rsidRPr="00A7033F" w:rsidRDefault="00D9664D" w:rsidP="00741FD9">
      <w:pPr>
        <w:spacing w:line="240" w:lineRule="auto"/>
        <w:ind w:left="-567" w:right="-568"/>
        <w:jc w:val="both"/>
        <w:rPr>
          <w:rFonts w:ascii="Times New Roman" w:hAnsi="Times New Roman" w:cs="Times New Roman"/>
          <w:sz w:val="24"/>
          <w:szCs w:val="24"/>
        </w:rPr>
      </w:pPr>
      <w:r w:rsidRPr="00A7033F">
        <w:rPr>
          <w:rFonts w:ascii="Times New Roman" w:hAnsi="Times New Roman" w:cs="Times New Roman"/>
          <w:sz w:val="24"/>
          <w:szCs w:val="24"/>
        </w:rPr>
        <w:t xml:space="preserve">Através desse emaranhado de expectativas mileniais em conflito, Guilherme Miller e seus associados abriram uma trilha limpa na direção de um conceito novo e diferente. "Não há milênio temporal", diziam. Com isso queriam dizer que o reinado milenial não se daria durante o "tempo", estando presentes ainda a morte, a decadência e o pecado, mas que seria o primeiro estágio do estado eterno. Sustentavam que, quando Cristo vier outra vez, estará terminado o tempo de graça aos homens, que todos os pecadores serão destruídos pela glória avassaladora de Sua segunda vinda e que todos os remidos ressurgirão ou serão transformados para a eternidade. Ensinavam que a Terra será renovada pelo fogo e que nela terá início o reino da eternidade — apenas interrompido, no final de mil anos, pela destruição dos "outros mortos". Isto é, os pecadores ressurgirão e, dirigidos por Satanás já solto, tentarão tomar de assalto a Cidade Santa, que terá descido do Céu à Terra; e, então, virá o juízo final, seguido pela execução da sentença sobre os ímpios. </w:t>
      </w:r>
    </w:p>
    <w:p w14:paraId="7FBBB834" w14:textId="77777777" w:rsidR="00D9664D" w:rsidRPr="00667883" w:rsidRDefault="00D9664D" w:rsidP="00741FD9">
      <w:pPr>
        <w:pStyle w:val="PargrafodaLista"/>
        <w:numPr>
          <w:ilvl w:val="0"/>
          <w:numId w:val="9"/>
        </w:numPr>
        <w:spacing w:after="0" w:line="240" w:lineRule="auto"/>
        <w:ind w:left="-567" w:right="-568" w:firstLine="0"/>
        <w:jc w:val="both"/>
        <w:rPr>
          <w:rFonts w:ascii="Times New Roman" w:hAnsi="Times New Roman" w:cs="Times New Roman"/>
          <w:b/>
          <w:sz w:val="24"/>
          <w:szCs w:val="24"/>
        </w:rPr>
      </w:pPr>
      <w:r w:rsidRPr="00667883">
        <w:rPr>
          <w:rFonts w:ascii="Times New Roman" w:hAnsi="Times New Roman" w:cs="Times New Roman"/>
          <w:b/>
          <w:sz w:val="24"/>
          <w:szCs w:val="24"/>
        </w:rPr>
        <w:t>O Milerismo Distingue um Milênio Não-Temporal e Não Judaico.</w:t>
      </w:r>
    </w:p>
    <w:p w14:paraId="5F96AD6E" w14:textId="77777777" w:rsidR="00D9664D" w:rsidRPr="00667883" w:rsidRDefault="00D9664D" w:rsidP="00741FD9">
      <w:pPr>
        <w:spacing w:line="240" w:lineRule="auto"/>
        <w:ind w:left="-567" w:right="-568"/>
        <w:jc w:val="both"/>
        <w:rPr>
          <w:rFonts w:ascii="Times New Roman" w:hAnsi="Times New Roman" w:cs="Times New Roman"/>
          <w:sz w:val="24"/>
          <w:szCs w:val="24"/>
        </w:rPr>
      </w:pPr>
      <w:r w:rsidRPr="00667883">
        <w:rPr>
          <w:rFonts w:ascii="Times New Roman" w:hAnsi="Times New Roman" w:cs="Times New Roman"/>
          <w:sz w:val="24"/>
          <w:szCs w:val="24"/>
        </w:rPr>
        <w:t xml:space="preserve">O ponto de vista milerita de que durante o milênio apenas os santos imortalizados estarão vivos, abrangendo judeus e gentios remidos, sem distinção, eliminou de um só golpe tanto o aspecto temporal como o judaico do reinado milenial. Isso, e não o marcar data, foi a diferença básica que separou os mileritas de seus contemporâneos, tanto pré-milenistas como pós-milenistas. </w:t>
      </w:r>
    </w:p>
    <w:p w14:paraId="45EFB45E" w14:textId="34026807" w:rsidR="00812D2D" w:rsidRPr="00667883" w:rsidRDefault="00812D2D" w:rsidP="00741FD9">
      <w:pPr>
        <w:pStyle w:val="PargrafodaLista"/>
        <w:numPr>
          <w:ilvl w:val="0"/>
          <w:numId w:val="9"/>
        </w:numPr>
        <w:spacing w:line="240" w:lineRule="auto"/>
        <w:ind w:left="-567" w:right="-568" w:firstLine="0"/>
        <w:jc w:val="both"/>
        <w:rPr>
          <w:rFonts w:ascii="Times New Roman" w:hAnsi="Times New Roman" w:cs="Times New Roman"/>
          <w:sz w:val="24"/>
          <w:szCs w:val="24"/>
        </w:rPr>
      </w:pPr>
      <w:r w:rsidRPr="00667883">
        <w:rPr>
          <w:rFonts w:ascii="Times New Roman" w:hAnsi="Times New Roman" w:cs="Times New Roman"/>
          <w:b/>
          <w:sz w:val="24"/>
          <w:szCs w:val="24"/>
        </w:rPr>
        <w:t>Pontos de Vista Adventistas Derivados dos Mileritas</w:t>
      </w:r>
      <w:r w:rsidRPr="00667883">
        <w:rPr>
          <w:rFonts w:ascii="Times New Roman" w:hAnsi="Times New Roman" w:cs="Times New Roman"/>
          <w:sz w:val="24"/>
          <w:szCs w:val="24"/>
        </w:rPr>
        <w:t>:</w:t>
      </w:r>
    </w:p>
    <w:p w14:paraId="075892F7" w14:textId="77777777" w:rsidR="00D101A0" w:rsidRDefault="00812D2D" w:rsidP="00741FD9">
      <w:pPr>
        <w:spacing w:line="240" w:lineRule="auto"/>
        <w:ind w:left="-567" w:right="-568"/>
        <w:jc w:val="both"/>
        <w:rPr>
          <w:rFonts w:ascii="Times New Roman" w:hAnsi="Times New Roman" w:cs="Times New Roman"/>
          <w:color w:val="FF0000"/>
          <w:sz w:val="24"/>
          <w:szCs w:val="24"/>
        </w:rPr>
      </w:pPr>
      <w:r w:rsidRPr="00667883">
        <w:rPr>
          <w:rFonts w:ascii="Times New Roman" w:hAnsi="Times New Roman" w:cs="Times New Roman"/>
          <w:sz w:val="24"/>
          <w:szCs w:val="24"/>
        </w:rPr>
        <w:t xml:space="preserve"> Após a dissolução do movimento milerita, formaram-se as denominações adventistas. Destas, os adventistas do sétimo dia tornaram-se o grupo principal, continuando e desenvolvendo o tipo milerita de Pré-milenismo, com um milênio não-temporal e não-judaico.</w:t>
      </w:r>
      <w:r w:rsidR="00D101A0">
        <w:rPr>
          <w:rFonts w:ascii="Times New Roman" w:hAnsi="Times New Roman" w:cs="Times New Roman"/>
          <w:sz w:val="24"/>
          <w:szCs w:val="24"/>
        </w:rPr>
        <w:t xml:space="preserve"> </w:t>
      </w:r>
      <w:r w:rsidR="00D101A0" w:rsidRPr="00D101A0">
        <w:rPr>
          <w:rFonts w:ascii="Times New Roman" w:hAnsi="Times New Roman" w:cs="Times New Roman"/>
          <w:color w:val="FF0000"/>
          <w:sz w:val="24"/>
          <w:szCs w:val="24"/>
        </w:rPr>
        <w:t xml:space="preserve">[16] </w:t>
      </w:r>
    </w:p>
    <w:p w14:paraId="32E4BC72" w14:textId="02440AA2" w:rsidR="0067022B" w:rsidRPr="00667883" w:rsidRDefault="0067022B" w:rsidP="00741FD9">
      <w:pPr>
        <w:spacing w:after="0" w:line="240" w:lineRule="auto"/>
        <w:ind w:left="-567" w:right="-568"/>
        <w:jc w:val="both"/>
        <w:rPr>
          <w:rFonts w:ascii="Times New Roman" w:hAnsi="Times New Roman" w:cs="Times New Roman"/>
          <w:b/>
          <w:bCs/>
          <w:sz w:val="28"/>
          <w:szCs w:val="28"/>
        </w:rPr>
      </w:pPr>
      <w:r w:rsidRPr="00667883">
        <w:rPr>
          <w:rFonts w:ascii="Times New Roman" w:hAnsi="Times New Roman" w:cs="Times New Roman"/>
          <w:b/>
          <w:bCs/>
          <w:sz w:val="28"/>
          <w:szCs w:val="28"/>
        </w:rPr>
        <w:t xml:space="preserve">A posição Adventista sobre o milênio </w:t>
      </w:r>
    </w:p>
    <w:p w14:paraId="58FE623E" w14:textId="71BAEBC5" w:rsidR="0067022B" w:rsidRPr="00027BDF" w:rsidRDefault="0067022B" w:rsidP="00741FD9">
      <w:pPr>
        <w:pStyle w:val="PargrafodaLista"/>
        <w:spacing w:after="0" w:line="240" w:lineRule="auto"/>
        <w:ind w:left="-567" w:right="-568"/>
        <w:jc w:val="both"/>
        <w:rPr>
          <w:rFonts w:ascii="Times New Roman" w:hAnsi="Times New Roman" w:cs="Times New Roman"/>
          <w:color w:val="FF0000"/>
          <w:sz w:val="24"/>
          <w:szCs w:val="24"/>
        </w:rPr>
      </w:pPr>
      <w:r w:rsidRPr="00027BDF">
        <w:rPr>
          <w:rFonts w:ascii="Times New Roman" w:hAnsi="Times New Roman" w:cs="Times New Roman"/>
          <w:sz w:val="24"/>
          <w:szCs w:val="24"/>
        </w:rPr>
        <w:t>Atualmente, os evangélicos pré-milenistas se dividem em dois grupos básicos: os futuristas históricos modernos e os futuristas dispensacionalistas. Ambos são futuristas porque trocaram o método historicista dos Reformadores pelo futurismo da Contra Reforma, e substituíram a ênfase no papado como o anticristo para um indivíduo futuro que perseguirá os crentes</w:t>
      </w:r>
      <w:r w:rsidRPr="00027BDF">
        <w:rPr>
          <w:rFonts w:ascii="Times New Roman" w:hAnsi="Times New Roman" w:cs="Times New Roman"/>
          <w:color w:val="FF0000"/>
          <w:sz w:val="24"/>
          <w:szCs w:val="24"/>
        </w:rPr>
        <w:t>.[1</w:t>
      </w:r>
      <w:r w:rsidR="00E4693A" w:rsidRPr="00027BDF">
        <w:rPr>
          <w:rFonts w:ascii="Times New Roman" w:hAnsi="Times New Roman" w:cs="Times New Roman"/>
          <w:color w:val="FF0000"/>
          <w:sz w:val="24"/>
          <w:szCs w:val="24"/>
        </w:rPr>
        <w:t>7</w:t>
      </w:r>
      <w:r w:rsidRPr="00027BDF">
        <w:rPr>
          <w:rFonts w:ascii="Times New Roman" w:hAnsi="Times New Roman" w:cs="Times New Roman"/>
          <w:color w:val="FF0000"/>
          <w:sz w:val="24"/>
          <w:szCs w:val="24"/>
        </w:rPr>
        <w:t>]</w:t>
      </w:r>
    </w:p>
    <w:p w14:paraId="320BBF43" w14:textId="6626D325" w:rsidR="0067022B" w:rsidRPr="00027BDF" w:rsidRDefault="0067022B" w:rsidP="00741FD9">
      <w:pPr>
        <w:pStyle w:val="PargrafodaLista"/>
        <w:spacing w:line="240" w:lineRule="auto"/>
        <w:ind w:left="-567" w:right="-568"/>
        <w:jc w:val="both"/>
        <w:rPr>
          <w:rFonts w:ascii="Times New Roman" w:hAnsi="Times New Roman" w:cs="Times New Roman"/>
          <w:color w:val="FF0000"/>
          <w:sz w:val="24"/>
          <w:szCs w:val="24"/>
        </w:rPr>
      </w:pPr>
      <w:r w:rsidRPr="00027BDF">
        <w:rPr>
          <w:rFonts w:ascii="Times New Roman" w:hAnsi="Times New Roman" w:cs="Times New Roman"/>
          <w:sz w:val="24"/>
          <w:szCs w:val="24"/>
        </w:rPr>
        <w:t>Segundo ambos, “o reino milenar ocorre na Terra. Apesar disso, enquanto os pré-milenaristas históricos futuristas consideram a igreja o verdadeiro Israel de Deus, os pré-milenaristas dispensacionalistas esperam que as profecias do Antigo Testamento sobre Israel se cumpram com a restauração literal da nação e do seu templo em Jerusalém”.</w:t>
      </w:r>
      <w:r w:rsidRPr="00027BDF">
        <w:rPr>
          <w:rFonts w:ascii="Times New Roman" w:hAnsi="Times New Roman" w:cs="Times New Roman"/>
          <w:color w:val="FF0000"/>
          <w:sz w:val="24"/>
          <w:szCs w:val="24"/>
        </w:rPr>
        <w:t>[1</w:t>
      </w:r>
      <w:r w:rsidR="00E4693A" w:rsidRPr="00027BDF">
        <w:rPr>
          <w:rFonts w:ascii="Times New Roman" w:hAnsi="Times New Roman" w:cs="Times New Roman"/>
          <w:color w:val="FF0000"/>
          <w:sz w:val="24"/>
          <w:szCs w:val="24"/>
        </w:rPr>
        <w:t>8</w:t>
      </w:r>
      <w:r w:rsidRPr="00027BDF">
        <w:rPr>
          <w:rFonts w:ascii="Times New Roman" w:hAnsi="Times New Roman" w:cs="Times New Roman"/>
          <w:color w:val="FF0000"/>
          <w:sz w:val="24"/>
          <w:szCs w:val="24"/>
        </w:rPr>
        <w:t>]</w:t>
      </w:r>
    </w:p>
    <w:p w14:paraId="771CAF42" w14:textId="4F668928" w:rsidR="0067022B" w:rsidRPr="00027BDF" w:rsidRDefault="0067022B" w:rsidP="00741FD9">
      <w:pPr>
        <w:pStyle w:val="PargrafodaLista"/>
        <w:spacing w:line="240" w:lineRule="auto"/>
        <w:ind w:left="-567" w:right="-568"/>
        <w:jc w:val="both"/>
        <w:rPr>
          <w:rFonts w:ascii="Times New Roman" w:hAnsi="Times New Roman" w:cs="Times New Roman"/>
          <w:color w:val="FF0000"/>
          <w:sz w:val="24"/>
          <w:szCs w:val="24"/>
        </w:rPr>
      </w:pPr>
      <w:r w:rsidRPr="00027BDF">
        <w:rPr>
          <w:rFonts w:ascii="Times New Roman" w:hAnsi="Times New Roman" w:cs="Times New Roman"/>
          <w:sz w:val="24"/>
          <w:szCs w:val="24"/>
        </w:rPr>
        <w:t>Os dispensacionalistas ensinam equivocadamente um arrebatamento secreto na vinda de Cristo, e que no milênio todos os judeus se converterão e voltarão a ser o povo de Deus.</w:t>
      </w:r>
      <w:r w:rsidR="00E4693A" w:rsidRPr="00027BDF">
        <w:rPr>
          <w:rFonts w:ascii="Times New Roman" w:hAnsi="Times New Roman" w:cs="Times New Roman"/>
          <w:sz w:val="24"/>
          <w:szCs w:val="24"/>
        </w:rPr>
        <w:t xml:space="preserve"> </w:t>
      </w:r>
      <w:r w:rsidRPr="00027BDF">
        <w:rPr>
          <w:rFonts w:ascii="Times New Roman" w:hAnsi="Times New Roman" w:cs="Times New Roman"/>
          <w:color w:val="FF0000"/>
          <w:sz w:val="24"/>
          <w:szCs w:val="24"/>
        </w:rPr>
        <w:t>[1</w:t>
      </w:r>
      <w:r w:rsidR="00E4693A" w:rsidRPr="00027BDF">
        <w:rPr>
          <w:rFonts w:ascii="Times New Roman" w:hAnsi="Times New Roman" w:cs="Times New Roman"/>
          <w:color w:val="FF0000"/>
          <w:sz w:val="24"/>
          <w:szCs w:val="24"/>
        </w:rPr>
        <w:t>9</w:t>
      </w:r>
      <w:r w:rsidRPr="00027BDF">
        <w:rPr>
          <w:rFonts w:ascii="Times New Roman" w:hAnsi="Times New Roman" w:cs="Times New Roman"/>
          <w:color w:val="FF0000"/>
          <w:sz w:val="24"/>
          <w:szCs w:val="24"/>
        </w:rPr>
        <w:t>]</w:t>
      </w:r>
    </w:p>
    <w:p w14:paraId="1FF0D900" w14:textId="6EC7782D" w:rsidR="0067022B" w:rsidRPr="00027BDF" w:rsidRDefault="0067022B" w:rsidP="00741FD9">
      <w:pPr>
        <w:pStyle w:val="PargrafodaLista"/>
        <w:spacing w:line="240" w:lineRule="auto"/>
        <w:ind w:left="-567" w:right="-568"/>
        <w:jc w:val="both"/>
        <w:rPr>
          <w:rFonts w:ascii="Times New Roman" w:hAnsi="Times New Roman" w:cs="Times New Roman"/>
          <w:color w:val="FF0000"/>
          <w:sz w:val="24"/>
          <w:szCs w:val="24"/>
        </w:rPr>
      </w:pPr>
      <w:r w:rsidRPr="00027BDF">
        <w:rPr>
          <w:rFonts w:ascii="Times New Roman" w:hAnsi="Times New Roman" w:cs="Times New Roman"/>
          <w:sz w:val="24"/>
          <w:szCs w:val="24"/>
        </w:rPr>
        <w:t xml:space="preserve"> Por sua vez, os adventistas do sétimo dia são pré-milenistas</w:t>
      </w:r>
      <w:r w:rsidR="0033173B" w:rsidRPr="00027BDF">
        <w:rPr>
          <w:rFonts w:ascii="Times New Roman" w:hAnsi="Times New Roman" w:cs="Times New Roman"/>
          <w:sz w:val="24"/>
          <w:szCs w:val="24"/>
        </w:rPr>
        <w:t xml:space="preserve"> históricos futuristas</w:t>
      </w:r>
      <w:r w:rsidR="00984E73" w:rsidRPr="00027BDF">
        <w:rPr>
          <w:rFonts w:ascii="Times New Roman" w:hAnsi="Times New Roman" w:cs="Times New Roman"/>
          <w:sz w:val="24"/>
          <w:szCs w:val="24"/>
        </w:rPr>
        <w:t xml:space="preserve"> (O Pré-Milenismo Histórico (ou clássico) foi a primeira e única mensagem escatológica durante todo o período da Igreja Primitiva até o quarto século). B</w:t>
      </w:r>
      <w:r w:rsidR="002C5E11" w:rsidRPr="00027BDF">
        <w:rPr>
          <w:rFonts w:ascii="Times New Roman" w:eastAsia="Calibri" w:hAnsi="Times New Roman" w:cs="Times New Roman"/>
          <w:sz w:val="24"/>
          <w:szCs w:val="24"/>
        </w:rPr>
        <w:t>aseado nas Escrituras, livre das tradições judaicas e dos conceitos pagãos,</w:t>
      </w:r>
      <w:r w:rsidRPr="00027BDF">
        <w:rPr>
          <w:rFonts w:ascii="Times New Roman" w:hAnsi="Times New Roman" w:cs="Times New Roman"/>
          <w:sz w:val="24"/>
          <w:szCs w:val="24"/>
        </w:rPr>
        <w:t xml:space="preserve"> porque, conforme as Escrituras, eles ensinam que a segunda vinda de Cristo será um evento único, real, audível, visível, mundial, glorioso, a ocorrer no início do milênio (Mateus 24; Marcos 13; Lucas 21; João 14:1-3; Atos 1:9-11; 1 Coríntios 15:51-54; 1 Tessalonicenses 4:13-18; 5:1-6; 2 Tessalonicenses 2:7-10; 2:8; 2 Timóteo 3:1-5; Tito 2:13; Hebreus 9:28; Apocalipse 1:7; 14:14-20; 19:11-21).  </w:t>
      </w:r>
      <w:r w:rsidRPr="00027BDF">
        <w:rPr>
          <w:rFonts w:ascii="Times New Roman" w:hAnsi="Times New Roman" w:cs="Times New Roman"/>
          <w:color w:val="FF0000"/>
          <w:sz w:val="24"/>
          <w:szCs w:val="24"/>
        </w:rPr>
        <w:t>[</w:t>
      </w:r>
      <w:r w:rsidR="00A7033F" w:rsidRPr="00027BDF">
        <w:rPr>
          <w:rFonts w:ascii="Times New Roman" w:hAnsi="Times New Roman" w:cs="Times New Roman"/>
          <w:color w:val="FF0000"/>
          <w:sz w:val="24"/>
          <w:szCs w:val="24"/>
        </w:rPr>
        <w:t>20</w:t>
      </w:r>
      <w:r w:rsidRPr="00027BDF">
        <w:rPr>
          <w:rFonts w:ascii="Times New Roman" w:hAnsi="Times New Roman" w:cs="Times New Roman"/>
          <w:color w:val="FF0000"/>
          <w:sz w:val="24"/>
          <w:szCs w:val="24"/>
        </w:rPr>
        <w:t xml:space="preserve">] </w:t>
      </w:r>
    </w:p>
    <w:p w14:paraId="55EB520D" w14:textId="02C30D0A" w:rsidR="0067022B" w:rsidRPr="00C22256" w:rsidRDefault="0067022B" w:rsidP="00741FD9">
      <w:pPr>
        <w:pStyle w:val="PargrafodaLista"/>
        <w:spacing w:line="240" w:lineRule="auto"/>
        <w:ind w:left="-567" w:right="-568"/>
        <w:jc w:val="both"/>
        <w:rPr>
          <w:rFonts w:ascii="Times New Roman" w:hAnsi="Times New Roman" w:cs="Times New Roman"/>
          <w:b/>
          <w:bCs/>
          <w:color w:val="FF0000"/>
          <w:sz w:val="24"/>
          <w:szCs w:val="24"/>
        </w:rPr>
      </w:pPr>
      <w:r w:rsidRPr="00027BDF">
        <w:rPr>
          <w:rFonts w:ascii="Times New Roman" w:hAnsi="Times New Roman" w:cs="Times New Roman"/>
          <w:sz w:val="24"/>
          <w:szCs w:val="24"/>
        </w:rPr>
        <w:t>Os adventistas do sétimo dia também creem que o período dos mil anos é literal,</w:t>
      </w:r>
      <w:bookmarkStart w:id="3" w:name="_ednref22"/>
      <w:r w:rsidR="009E24B1" w:rsidRPr="00027BDF">
        <w:rPr>
          <w:rFonts w:ascii="Times New Roman" w:hAnsi="Times New Roman" w:cs="Times New Roman"/>
          <w:sz w:val="24"/>
          <w:szCs w:val="24"/>
        </w:rPr>
        <w:t xml:space="preserve"> </w:t>
      </w:r>
      <w:r w:rsidR="008A011D" w:rsidRPr="00027BDF">
        <w:rPr>
          <w:rFonts w:ascii="Times New Roman" w:hAnsi="Times New Roman" w:cs="Times New Roman"/>
          <w:sz w:val="24"/>
          <w:szCs w:val="24"/>
        </w:rPr>
        <w:t>(*</w:t>
      </w:r>
      <w:bookmarkEnd w:id="3"/>
      <w:r w:rsidR="008A011D" w:rsidRPr="00027BDF">
        <w:rPr>
          <w:rFonts w:ascii="Times New Roman" w:hAnsi="Times New Roman" w:cs="Times New Roman"/>
          <w:sz w:val="24"/>
          <w:szCs w:val="24"/>
        </w:rPr>
        <w:t xml:space="preserve">) </w:t>
      </w:r>
      <w:r w:rsidRPr="00027BDF">
        <w:rPr>
          <w:rFonts w:ascii="Times New Roman" w:hAnsi="Times New Roman" w:cs="Times New Roman"/>
          <w:sz w:val="24"/>
          <w:szCs w:val="24"/>
        </w:rPr>
        <w:t>pois o apóstolo João usou tempos simbólicos apenas para o tempo da graça, que terminará antes do retorno de Cristo (Apocalipse 15:8; 21:11-12). Por seis vezes, o apóstolo descreveu de modo natural os mil anos</w:t>
      </w:r>
      <w:r w:rsidRPr="0067022B">
        <w:rPr>
          <w:rFonts w:ascii="Times New Roman" w:hAnsi="Times New Roman" w:cs="Times New Roman"/>
          <w:sz w:val="24"/>
          <w:szCs w:val="24"/>
        </w:rPr>
        <w:t xml:space="preserve"> (20:2-7), enquanto anteriormente, em outras seis vezes, usou construções anormais para descrever tempos simbólicos (11:2, 3, 11; 12:6, 14; 13:5).</w:t>
      </w:r>
      <w:r w:rsidR="00D1786C">
        <w:rPr>
          <w:rFonts w:ascii="Times New Roman" w:hAnsi="Times New Roman" w:cs="Times New Roman"/>
          <w:sz w:val="24"/>
          <w:szCs w:val="24"/>
        </w:rPr>
        <w:t xml:space="preserve"> </w:t>
      </w:r>
      <w:bookmarkStart w:id="4" w:name="_edn22"/>
      <w:r w:rsidR="009E24B1" w:rsidRPr="009E24B1">
        <w:rPr>
          <w:rFonts w:ascii="Times New Roman" w:hAnsi="Times New Roman" w:cs="Times New Roman"/>
          <w:color w:val="FF0000"/>
          <w:sz w:val="24"/>
          <w:szCs w:val="24"/>
        </w:rPr>
        <w:t>*</w:t>
      </w:r>
      <w:bookmarkEnd w:id="4"/>
      <w:r w:rsidR="009E24B1">
        <w:rPr>
          <w:rFonts w:ascii="Times New Roman" w:hAnsi="Times New Roman" w:cs="Times New Roman"/>
          <w:b/>
          <w:bCs/>
          <w:color w:val="FF0000"/>
          <w:sz w:val="24"/>
          <w:szCs w:val="24"/>
        </w:rPr>
        <w:t>[21]</w:t>
      </w:r>
    </w:p>
    <w:p w14:paraId="1A13C3E6" w14:textId="2DB502F6" w:rsidR="009F75A1" w:rsidRPr="00667883" w:rsidRDefault="009F75A1" w:rsidP="00741FD9">
      <w:pPr>
        <w:pStyle w:val="PargrafodaLista"/>
        <w:spacing w:after="100" w:afterAutospacing="1" w:line="240" w:lineRule="auto"/>
        <w:ind w:left="-567" w:right="-568"/>
        <w:jc w:val="both"/>
        <w:rPr>
          <w:rFonts w:ascii="Times New Roman" w:eastAsia="Times New Roman" w:hAnsi="Times New Roman" w:cs="Times New Roman"/>
          <w:sz w:val="24"/>
          <w:szCs w:val="24"/>
          <w:lang w:eastAsia="pt-BR"/>
        </w:rPr>
      </w:pPr>
      <w:r w:rsidRPr="00667883">
        <w:rPr>
          <w:rFonts w:ascii="Times New Roman" w:eastAsia="Times New Roman" w:hAnsi="Times New Roman" w:cs="Times New Roman"/>
          <w:sz w:val="24"/>
          <w:szCs w:val="24"/>
          <w:lang w:eastAsia="pt-BR"/>
        </w:rPr>
        <w:lastRenderedPageBreak/>
        <w:t>Segundo Cohen (2005, p.</w:t>
      </w:r>
      <w:r w:rsidR="00667883" w:rsidRPr="00667883">
        <w:rPr>
          <w:rFonts w:ascii="Times New Roman" w:eastAsia="Times New Roman" w:hAnsi="Times New Roman" w:cs="Times New Roman"/>
          <w:sz w:val="24"/>
          <w:szCs w:val="24"/>
          <w:lang w:eastAsia="pt-BR"/>
        </w:rPr>
        <w:t xml:space="preserve"> </w:t>
      </w:r>
      <w:r w:rsidRPr="00667883">
        <w:rPr>
          <w:rFonts w:ascii="Times New Roman" w:eastAsia="Times New Roman" w:hAnsi="Times New Roman" w:cs="Times New Roman"/>
          <w:sz w:val="24"/>
          <w:szCs w:val="24"/>
          <w:lang w:eastAsia="pt-BR"/>
        </w:rPr>
        <w:t>285) a visão Adventista do Milênio praticamente é isolada das demais compreensões denominacionais. Segundo esse entendimento, Satanás ficará mil anos em um mundo vasto pois todos os justos j</w:t>
      </w:r>
      <w:r w:rsidR="00667883" w:rsidRPr="00667883">
        <w:rPr>
          <w:rFonts w:ascii="Times New Roman" w:eastAsia="Times New Roman" w:hAnsi="Times New Roman" w:cs="Times New Roman"/>
          <w:sz w:val="24"/>
          <w:szCs w:val="24"/>
          <w:lang w:eastAsia="pt-BR"/>
        </w:rPr>
        <w:t>á</w:t>
      </w:r>
      <w:r w:rsidRPr="00667883">
        <w:rPr>
          <w:rFonts w:ascii="Times New Roman" w:eastAsia="Times New Roman" w:hAnsi="Times New Roman" w:cs="Times New Roman"/>
          <w:sz w:val="24"/>
          <w:szCs w:val="24"/>
          <w:lang w:eastAsia="pt-BR"/>
        </w:rPr>
        <w:t xml:space="preserve"> estarão no céu e todos os maus mortos.</w:t>
      </w:r>
    </w:p>
    <w:p w14:paraId="7629941A" w14:textId="1FE08061" w:rsidR="0067022B" w:rsidRPr="00667883" w:rsidRDefault="0067022B" w:rsidP="00741FD9">
      <w:pPr>
        <w:spacing w:after="0" w:line="240" w:lineRule="auto"/>
        <w:ind w:left="-567" w:right="-568"/>
        <w:rPr>
          <w:rFonts w:ascii="Times New Roman" w:hAnsi="Times New Roman" w:cs="Times New Roman"/>
          <w:b/>
          <w:bCs/>
          <w:sz w:val="28"/>
          <w:szCs w:val="28"/>
        </w:rPr>
      </w:pPr>
      <w:r w:rsidRPr="00667883">
        <w:rPr>
          <w:rFonts w:ascii="Times New Roman" w:hAnsi="Times New Roman" w:cs="Times New Roman"/>
          <w:b/>
          <w:bCs/>
          <w:sz w:val="28"/>
          <w:szCs w:val="28"/>
        </w:rPr>
        <w:t xml:space="preserve">A compreensão adventista do sétimo dia sobre o milênio </w:t>
      </w:r>
    </w:p>
    <w:p w14:paraId="696230C2" w14:textId="77777777" w:rsidR="00526D34" w:rsidRDefault="00812D2D" w:rsidP="00741FD9">
      <w:pPr>
        <w:spacing w:after="0" w:line="240" w:lineRule="auto"/>
        <w:ind w:left="-567" w:right="-568"/>
        <w:jc w:val="both"/>
        <w:rPr>
          <w:rFonts w:ascii="Times New Roman" w:hAnsi="Times New Roman" w:cs="Times New Roman"/>
          <w:color w:val="FF0000"/>
          <w:sz w:val="24"/>
          <w:szCs w:val="24"/>
        </w:rPr>
      </w:pPr>
      <w:r w:rsidRPr="00667883">
        <w:rPr>
          <w:rFonts w:ascii="Times New Roman" w:hAnsi="Times New Roman" w:cs="Times New Roman"/>
          <w:sz w:val="24"/>
          <w:szCs w:val="24"/>
        </w:rPr>
        <w:t xml:space="preserve">A visão que delineia os mil anos pertence a uma série que deve ser considerada como sequência cronológica, se é que desejamos situar o milênio em sua devida relação com outros acontecimentos escatológicos. Apocalipse 19 descreve a segunda vinda de nosso Senhor. O capítulo 20 fala do aprisionamento de Satanás, de duas ressurreições com intervalo de mil anos, do julgamento geral dos malfeitores e sua destruição no lago de fogo. Apocalipse 21 descreve a descida da Cidade Santa, a Nova Jerusalém. E o capítulo 22 continua a descrição da cidade e das alegrias dos remidos no estado eterno. Parece não existir nesses capítulos coisa alguma que indique não ser essa uma sequência cronológica de acontecimentos. Com o auxílio de passagens paralelas da Bíblia, que descrevem a segunda vinda de Cristo, a ressurreição e o castigo final dos ímpios, </w:t>
      </w:r>
      <w:proofErr w:type="gramStart"/>
      <w:r w:rsidRPr="00667883">
        <w:rPr>
          <w:rFonts w:ascii="Times New Roman" w:hAnsi="Times New Roman" w:cs="Times New Roman"/>
          <w:sz w:val="24"/>
          <w:szCs w:val="24"/>
        </w:rPr>
        <w:t>é</w:t>
      </w:r>
      <w:proofErr w:type="gramEnd"/>
      <w:r w:rsidRPr="00667883">
        <w:rPr>
          <w:rFonts w:ascii="Times New Roman" w:hAnsi="Times New Roman" w:cs="Times New Roman"/>
          <w:sz w:val="24"/>
          <w:szCs w:val="24"/>
        </w:rPr>
        <w:t xml:space="preserve"> possível esboçar os acontecimentos do milênio de princípio a fim, com exatidão perfeita. </w:t>
      </w:r>
      <w:r w:rsidR="00526D34">
        <w:rPr>
          <w:rFonts w:ascii="Times New Roman" w:hAnsi="Times New Roman" w:cs="Times New Roman"/>
          <w:color w:val="FF0000"/>
          <w:sz w:val="24"/>
          <w:szCs w:val="24"/>
        </w:rPr>
        <w:t xml:space="preserve">[22] </w:t>
      </w:r>
    </w:p>
    <w:p w14:paraId="313C9754" w14:textId="77777777" w:rsidR="00FE7CBE" w:rsidRDefault="00FE7CBE" w:rsidP="00741FD9">
      <w:pPr>
        <w:spacing w:line="240" w:lineRule="auto"/>
        <w:ind w:left="-567" w:right="-568"/>
        <w:jc w:val="both"/>
        <w:rPr>
          <w:rFonts w:ascii="Times New Roman" w:hAnsi="Times New Roman" w:cs="Times New Roman"/>
          <w:b/>
          <w:sz w:val="24"/>
          <w:szCs w:val="24"/>
        </w:rPr>
      </w:pPr>
    </w:p>
    <w:p w14:paraId="77FEF791" w14:textId="7A19220F" w:rsidR="00AB5095" w:rsidRPr="00AB5095" w:rsidRDefault="00AB5095" w:rsidP="00741FD9">
      <w:pPr>
        <w:spacing w:after="0" w:line="240" w:lineRule="auto"/>
        <w:ind w:left="-567" w:right="-568"/>
        <w:jc w:val="both"/>
        <w:rPr>
          <w:rFonts w:ascii="Times New Roman" w:hAnsi="Times New Roman" w:cs="Times New Roman"/>
          <w:sz w:val="24"/>
          <w:szCs w:val="24"/>
        </w:rPr>
      </w:pPr>
      <w:r w:rsidRPr="00AB5095">
        <w:rPr>
          <w:rFonts w:ascii="Times New Roman" w:hAnsi="Times New Roman" w:cs="Times New Roman"/>
          <w:b/>
          <w:sz w:val="24"/>
          <w:szCs w:val="24"/>
        </w:rPr>
        <w:t>SEGUNDA VINDA DE CRISTO</w:t>
      </w:r>
    </w:p>
    <w:p w14:paraId="0B6C6BC4" w14:textId="77777777" w:rsidR="00AB5095" w:rsidRPr="00AB5095" w:rsidRDefault="00AB5095" w:rsidP="00741FD9">
      <w:pPr>
        <w:spacing w:after="0"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Em Apocalipse 19 Cristo é descrito, por ocasião de Sua segunda vinda, como poderoso guerreiro, a dirigir os exércitos do Céu a fim de batalhar contra as hostes do mal (v. 11-16). Isso mostra o efeito de Sua vinda sobre os perdidos. </w:t>
      </w:r>
    </w:p>
    <w:p w14:paraId="596EFBDE"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Em Apocalipse 14, Cristo é apresentado vindo numa nuvem, coroado como Rei dos reis. Nesse capítulo, a reunião dos justos e dos ímpios é descrita sob a figura de uma ceifa. Nos versos 15 e 16, os justos são reunidos como "a seara da Terra". Os ímpios são colhidos como "cachos da videira da Terra", "amadurecidos", e lançados "no grande lagar da cólera de Deus" (v. 18, 19). Esse "lagar" é mencionado de novo no capítulo 19, onde se diz que Cristo, "pessoalmente, pisa o lagar do vinho do furor da ira do Deus Todo-poderoso" (v. 15).  </w:t>
      </w:r>
    </w:p>
    <w:p w14:paraId="11C1604C" w14:textId="77777777" w:rsidR="00AB5095" w:rsidRPr="00AB5095" w:rsidRDefault="00AB5095" w:rsidP="00741FD9">
      <w:pPr>
        <w:tabs>
          <w:tab w:val="left" w:pos="-142"/>
        </w:tabs>
        <w:spacing w:line="240" w:lineRule="auto"/>
        <w:ind w:left="-567" w:right="-568"/>
        <w:contextualSpacing/>
        <w:rPr>
          <w:rFonts w:ascii="Times New Roman" w:hAnsi="Times New Roman" w:cs="Times New Roman"/>
          <w:b/>
          <w:sz w:val="24"/>
          <w:szCs w:val="24"/>
        </w:rPr>
      </w:pPr>
      <w:r w:rsidRPr="00AB5095">
        <w:rPr>
          <w:rFonts w:ascii="Times New Roman" w:hAnsi="Times New Roman" w:cs="Times New Roman"/>
          <w:b/>
          <w:sz w:val="24"/>
          <w:szCs w:val="24"/>
        </w:rPr>
        <w:t>MORTE DE TODOS OS PECADORES</w:t>
      </w:r>
    </w:p>
    <w:p w14:paraId="4298059F" w14:textId="6F126E33"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 Aos pecadores rebeldes da Terra, Cristo vem como juiz e vingador, com glória avassaladora, com fogo e espada, em batalha final contra as hostes dos homens maus, que assumem sua derradeira posição de desafio a Ele, e oferece às aves a carne de reis, capitães e homens poderosos, e de todos, quer livres, quer escravos, pequenos e grandes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19:17-19). Em outra parte, o Apocalipse descreve a mesma classe de pessoas acovardadas diante da face do Cordeiro e das perturbações da natureza que acompanham o segundo advento: os céus enrolando-se como um pergaminho, e todos os montes e ilhas movidos de seus lugares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6:14-17). No capítulo 19, bem como no 14, o efeito da vinda de Cristo é descrito sob a figura do pisar as uvas num lagar, com sangue a sair do lagar, na extensão de mil e seiscentos estádios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14:20). </w:t>
      </w:r>
    </w:p>
    <w:p w14:paraId="6A03E3B6" w14:textId="77777777" w:rsidR="00E66730"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A "besta" e o "falso profeta", símbolos da apostasia organizada (em visões anteriores do Apocalipse), e que são acusados de enganarem os homens maus, levando-os a contínua rebelião contra Deus, são descritos como lançados vivos num lago de fogo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19:20). O apóstolo Paulo, visualizando com olhos proféticos o fluxo do tempo, descreveu o mistério da iniquidade num nome personalizado: "o iníquo", "a quem o Senhor Jesus matará com o sopro de Sua boca, e o destruirá pela manifestação de Sua vinda" (2Ts 2:8). E Apocalipse 19 assim termina a descrição da ruína total dos ímpios: "Os restantes [pecadores] foram mortos com a espada que saía da boca </w:t>
      </w:r>
      <w:proofErr w:type="spellStart"/>
      <w:r w:rsidRPr="00AB5095">
        <w:rPr>
          <w:rFonts w:ascii="Times New Roman" w:hAnsi="Times New Roman" w:cs="Times New Roman"/>
          <w:sz w:val="24"/>
          <w:szCs w:val="24"/>
        </w:rPr>
        <w:t>dAquele</w:t>
      </w:r>
      <w:proofErr w:type="spellEnd"/>
      <w:r w:rsidRPr="00AB5095">
        <w:rPr>
          <w:rFonts w:ascii="Times New Roman" w:hAnsi="Times New Roman" w:cs="Times New Roman"/>
          <w:sz w:val="24"/>
          <w:szCs w:val="24"/>
        </w:rPr>
        <w:t xml:space="preserve"> que estava montado no cavalo. E todas as aves se fartaram das suas carnes" (v. 21). </w:t>
      </w:r>
    </w:p>
    <w:p w14:paraId="295709F0" w14:textId="60A9B7FA" w:rsidR="00AB5095" w:rsidRPr="00AB5095" w:rsidRDefault="00AB5095" w:rsidP="00741FD9">
      <w:pPr>
        <w:spacing w:after="0" w:line="240" w:lineRule="auto"/>
        <w:ind w:left="-567" w:right="-568"/>
        <w:jc w:val="both"/>
        <w:rPr>
          <w:rFonts w:ascii="Times New Roman" w:hAnsi="Times New Roman" w:cs="Times New Roman"/>
          <w:b/>
          <w:sz w:val="24"/>
          <w:szCs w:val="24"/>
        </w:rPr>
      </w:pPr>
      <w:r w:rsidRPr="00AB5095">
        <w:rPr>
          <w:rFonts w:ascii="Times New Roman" w:hAnsi="Times New Roman" w:cs="Times New Roman"/>
          <w:b/>
          <w:sz w:val="24"/>
          <w:szCs w:val="24"/>
        </w:rPr>
        <w:t>O APRISIONAMENTO DE SATANÁS</w:t>
      </w:r>
    </w:p>
    <w:p w14:paraId="0B25065F" w14:textId="77777777" w:rsidR="00AB5095" w:rsidRPr="00AB5095" w:rsidRDefault="00AB5095" w:rsidP="00741FD9">
      <w:pPr>
        <w:spacing w:after="0"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O acontecimento seguinte descrito no livro de Apocalipse (20:1-3) é o aprisionamento de Satanás com uma grande corrente, sob a figura de um dragão, a fim de que, por mil anos, não mais engane as nações. Visto que essa é uma cena simbólica, não é preciso supor que a corrente e o abismo sejam literais. O dragão representa Satanás, e o sentido dos outros símbolos podemos deduzir do contexto. Com o segundo advento, os seguidores de Satanás foram todos destruídos. Os justos, como veremos </w:t>
      </w:r>
      <w:r w:rsidRPr="00AB5095">
        <w:rPr>
          <w:rFonts w:ascii="Times New Roman" w:hAnsi="Times New Roman" w:cs="Times New Roman"/>
          <w:sz w:val="24"/>
          <w:szCs w:val="24"/>
        </w:rPr>
        <w:lastRenderedPageBreak/>
        <w:t xml:space="preserve">na seção seguinte são removidos do domínio dele. A Terra está completamente desolada, com cadáveres por toda parte. Basta, então, compreender pelos símbolos que, por ordem divina, Satanás é circunscrito à Terra, para aqui, por mil anos, refletir sobre os resultados de sua rebelião contra Deus.  </w:t>
      </w:r>
    </w:p>
    <w:p w14:paraId="2672173F" w14:textId="1EC7E938" w:rsidR="00AB5095" w:rsidRPr="00AB5095" w:rsidRDefault="00AB5095" w:rsidP="00741FD9">
      <w:pPr>
        <w:spacing w:line="240" w:lineRule="auto"/>
        <w:ind w:left="-567" w:right="-568"/>
        <w:contextualSpacing/>
        <w:rPr>
          <w:rFonts w:ascii="Times New Roman" w:hAnsi="Times New Roman" w:cs="Times New Roman"/>
          <w:b/>
          <w:sz w:val="24"/>
          <w:szCs w:val="24"/>
        </w:rPr>
      </w:pPr>
      <w:r w:rsidRPr="00AB5095">
        <w:rPr>
          <w:rFonts w:ascii="Times New Roman" w:hAnsi="Times New Roman" w:cs="Times New Roman"/>
          <w:b/>
          <w:sz w:val="24"/>
          <w:szCs w:val="24"/>
        </w:rPr>
        <w:t xml:space="preserve"> RESSURREIÇÃO DOS JUSTOS</w:t>
      </w:r>
    </w:p>
    <w:p w14:paraId="4A57CEFD" w14:textId="77777777" w:rsidR="00E66730"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Muda-se o cenário. João vê tronos de julgamento e assentados neles os bem-aventurados e santos que têm parte na primeira ressurreição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20:4, 6). "Viveram [de novo] e reinaram com Cristo durante mil anos" (v. 4). João vê especificamente os mártires e os que alcançaram a vitória sobre a besta e sua imagem (símbolos proféticos da apostasia). Porventura os que hão de reinar com Cristo durante os mil anos abrangem mais do que os mártires e fiéis da última geração, que resistiram às artimanhas da apostasia?  A resposta tem de ser procurada em outras passagens que descrevam a ressurreição que se segue à segunda vinda de Cristo em poder e grande glória. Em parte alguma da Bíblia (a não ser que isso se dê em Apocalipse 20) é mencionada uma ressurreição só de mártires; há, porém, referências à "ressurreição dos justos" (</w:t>
      </w:r>
      <w:proofErr w:type="spellStart"/>
      <w:r w:rsidRPr="00AB5095">
        <w:rPr>
          <w:rFonts w:ascii="Times New Roman" w:hAnsi="Times New Roman" w:cs="Times New Roman"/>
          <w:sz w:val="24"/>
          <w:szCs w:val="24"/>
        </w:rPr>
        <w:t>Lc</w:t>
      </w:r>
      <w:proofErr w:type="spellEnd"/>
      <w:r w:rsidRPr="00AB5095">
        <w:rPr>
          <w:rFonts w:ascii="Times New Roman" w:hAnsi="Times New Roman" w:cs="Times New Roman"/>
          <w:sz w:val="24"/>
          <w:szCs w:val="24"/>
        </w:rPr>
        <w:t xml:space="preserve"> 14:14) e à "ressurreição da vida" em contraste com a "ressurreição do juízo" (</w:t>
      </w:r>
      <w:proofErr w:type="spellStart"/>
      <w:r w:rsidRPr="00AB5095">
        <w:rPr>
          <w:rFonts w:ascii="Times New Roman" w:hAnsi="Times New Roman" w:cs="Times New Roman"/>
          <w:sz w:val="24"/>
          <w:szCs w:val="24"/>
        </w:rPr>
        <w:t>Jo</w:t>
      </w:r>
      <w:proofErr w:type="spellEnd"/>
      <w:r w:rsidRPr="00AB5095">
        <w:rPr>
          <w:rFonts w:ascii="Times New Roman" w:hAnsi="Times New Roman" w:cs="Times New Roman"/>
          <w:sz w:val="24"/>
          <w:szCs w:val="24"/>
        </w:rPr>
        <w:t xml:space="preserve"> 5:29), o que corresponde à divisão que Apocalipse 20 faz entre as duas ressurreições. "Os que são de Cristo" ressuscitam "na Sua vinda" (1Co 15:23). "Os mortos em Cristo ressuscitarão" quando o Senhor descer do Céu, com "a voz do arcanjo, e ressoada a trombeta de Deus" (1Ts 4:16).  Em outra parte, é feita referência "ao ressoar da última trombeta. A trombeta soará, os mortos ressuscitarão incorruptíveis" (1Co 15:52). </w:t>
      </w:r>
    </w:p>
    <w:p w14:paraId="5193A75C" w14:textId="668D0077" w:rsidR="00AB5095" w:rsidRPr="00AB5095" w:rsidRDefault="00AB5095" w:rsidP="00741FD9">
      <w:pPr>
        <w:spacing w:after="0" w:line="240" w:lineRule="auto"/>
        <w:ind w:left="-567" w:right="-568"/>
        <w:jc w:val="both"/>
        <w:rPr>
          <w:rFonts w:ascii="Times New Roman" w:hAnsi="Times New Roman" w:cs="Times New Roman"/>
          <w:b/>
          <w:sz w:val="24"/>
          <w:szCs w:val="24"/>
        </w:rPr>
      </w:pPr>
      <w:r w:rsidRPr="00AB5095">
        <w:rPr>
          <w:rFonts w:ascii="Times New Roman" w:hAnsi="Times New Roman" w:cs="Times New Roman"/>
          <w:b/>
          <w:sz w:val="24"/>
          <w:szCs w:val="24"/>
        </w:rPr>
        <w:t>A TRASLADAÇÃO DOS JUSTOS VIVOS</w:t>
      </w:r>
    </w:p>
    <w:p w14:paraId="2888474C" w14:textId="3B1AF8C6" w:rsidR="00AB5095" w:rsidRDefault="00AB5095" w:rsidP="00741FD9">
      <w:pPr>
        <w:spacing w:after="0"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O profeta João viu, assentados nos tronos do julgamento, os que "não adoraram a besta, nem tampouco a sua imagem, e não receberam a marca na fronte e na mão"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20:4) .Visto que haverá apenas duas classes de pessoas na Terra quando Cristo vier - os justos e os pecadores, as "ovelhas" e os "cabritos" (</w:t>
      </w:r>
      <w:proofErr w:type="spellStart"/>
      <w:r w:rsidRPr="00AB5095">
        <w:rPr>
          <w:rFonts w:ascii="Times New Roman" w:hAnsi="Times New Roman" w:cs="Times New Roman"/>
          <w:sz w:val="24"/>
          <w:szCs w:val="24"/>
        </w:rPr>
        <w:t>Mt</w:t>
      </w:r>
      <w:proofErr w:type="spellEnd"/>
      <w:r w:rsidRPr="00AB5095">
        <w:rPr>
          <w:rFonts w:ascii="Times New Roman" w:hAnsi="Times New Roman" w:cs="Times New Roman"/>
          <w:sz w:val="24"/>
          <w:szCs w:val="24"/>
        </w:rPr>
        <w:t xml:space="preserve"> 25:32, 33) -, os que não adoraram a besta devem representar os vivos justos da última geração, que não dobraram os joelhos à apostasia, e estão preparados para dar as </w:t>
      </w:r>
      <w:r w:rsidRPr="001A1464">
        <w:rPr>
          <w:rFonts w:ascii="Times New Roman" w:hAnsi="Times New Roman" w:cs="Times New Roman"/>
          <w:color w:val="C00000"/>
          <w:sz w:val="24"/>
          <w:szCs w:val="24"/>
        </w:rPr>
        <w:t>boas</w:t>
      </w:r>
      <w:r w:rsidR="001A1464" w:rsidRPr="001A1464">
        <w:rPr>
          <w:rFonts w:ascii="Times New Roman" w:hAnsi="Times New Roman" w:cs="Times New Roman"/>
          <w:color w:val="C00000"/>
          <w:sz w:val="24"/>
          <w:szCs w:val="24"/>
        </w:rPr>
        <w:t>-</w:t>
      </w:r>
      <w:r w:rsidRPr="001A1464">
        <w:rPr>
          <w:rFonts w:ascii="Times New Roman" w:hAnsi="Times New Roman" w:cs="Times New Roman"/>
          <w:color w:val="C00000"/>
          <w:sz w:val="24"/>
          <w:szCs w:val="24"/>
        </w:rPr>
        <w:t xml:space="preserve">vindas </w:t>
      </w:r>
      <w:r w:rsidRPr="00AB5095">
        <w:rPr>
          <w:rFonts w:ascii="Times New Roman" w:hAnsi="Times New Roman" w:cs="Times New Roman"/>
          <w:sz w:val="24"/>
          <w:szCs w:val="24"/>
        </w:rPr>
        <w:t xml:space="preserve">a Cristo quando Ele vier.  O apóstolo Paulo descreve esse bendito acontecimento: "Nem todos dormiremos [morreremos], mas transformados seremos todos [...] ao ressoar da última trombeta. A trombeta sairá, os mortos ressuscitarão incorruptíveis", pois "o corpo mortal" se revestirá de "imortalidade" (1Co 15:51-53). Isso se dará quando "nós, os vivos, os que ficarmos, seremos arrebatados juntamente com eles, entre nuvens, para o encontro do Senhor nos ares" (1Ts 4:17).  </w:t>
      </w:r>
    </w:p>
    <w:p w14:paraId="6A778CD3" w14:textId="77777777" w:rsidR="00FE7CBE" w:rsidRPr="00AB5095" w:rsidRDefault="00FE7CBE" w:rsidP="00741FD9">
      <w:pPr>
        <w:spacing w:after="0" w:line="240" w:lineRule="auto"/>
        <w:ind w:left="-567" w:right="-568"/>
        <w:jc w:val="both"/>
        <w:rPr>
          <w:rFonts w:ascii="Times New Roman" w:hAnsi="Times New Roman" w:cs="Times New Roman"/>
          <w:sz w:val="24"/>
          <w:szCs w:val="24"/>
        </w:rPr>
      </w:pPr>
    </w:p>
    <w:p w14:paraId="0F23F50C" w14:textId="4AEC273C" w:rsidR="00AB5095" w:rsidRPr="00AB5095" w:rsidRDefault="009E5CAD" w:rsidP="00741FD9">
      <w:pPr>
        <w:spacing w:line="240" w:lineRule="auto"/>
        <w:ind w:left="-567" w:right="-568"/>
        <w:contextualSpacing/>
        <w:rPr>
          <w:rFonts w:ascii="Times New Roman" w:hAnsi="Times New Roman" w:cs="Times New Roman"/>
          <w:b/>
          <w:sz w:val="24"/>
          <w:szCs w:val="24"/>
        </w:rPr>
      </w:pPr>
      <w:r>
        <w:rPr>
          <w:rFonts w:ascii="Times New Roman" w:hAnsi="Times New Roman" w:cs="Times New Roman"/>
          <w:b/>
          <w:sz w:val="24"/>
          <w:szCs w:val="24"/>
        </w:rPr>
        <w:t>T</w:t>
      </w:r>
      <w:r w:rsidR="00AB5095" w:rsidRPr="00AB5095">
        <w:rPr>
          <w:rFonts w:ascii="Times New Roman" w:hAnsi="Times New Roman" w:cs="Times New Roman"/>
          <w:b/>
          <w:sz w:val="24"/>
          <w:szCs w:val="24"/>
        </w:rPr>
        <w:t>ODOS OS JUSTOS LEVADOS PARA O CÉU</w:t>
      </w:r>
    </w:p>
    <w:p w14:paraId="717C76F1" w14:textId="1F9D02E6"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João, em sua visão dos justos durante os mil anos, não especifica exatamente onde terá lugar o reinar com Cristo. Diz simplesmente: "Vi também tronos, e nestes sentaram-se aqueles aos quais foi dada autoridade de julgar. [...] E viveram e reinaram com Cristo durante mil anos"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20:4). Outras passagens, porém, esclarecem o caso. De acordo com 1 Tessalonicenses 4:17, acima citado, os justos serão arrebatados para "o encontro do Senhor nos ares", "entre nuvens". Concluímos, então, que Cristo, por ocasião de Sua segunda vinda, não tocará a Terra, poluída pelo pecado, mas "enviará os Seus anjos, com grande clangor de trombeta, os quais reunirão os Seus escolhidos, dos quatro ventos, de uma </w:t>
      </w:r>
      <w:r w:rsidR="001A1464" w:rsidRPr="001A1464">
        <w:rPr>
          <w:rFonts w:ascii="Times New Roman" w:hAnsi="Times New Roman" w:cs="Times New Roman"/>
          <w:color w:val="C00000"/>
          <w:sz w:val="24"/>
          <w:szCs w:val="24"/>
        </w:rPr>
        <w:t>à</w:t>
      </w:r>
      <w:r w:rsidRPr="00AB5095">
        <w:rPr>
          <w:rFonts w:ascii="Times New Roman" w:hAnsi="Times New Roman" w:cs="Times New Roman"/>
          <w:sz w:val="24"/>
          <w:szCs w:val="24"/>
        </w:rPr>
        <w:t xml:space="preserve"> outra extremidade dos céus" (</w:t>
      </w:r>
      <w:proofErr w:type="spellStart"/>
      <w:r w:rsidRPr="00AB5095">
        <w:rPr>
          <w:rFonts w:ascii="Times New Roman" w:hAnsi="Times New Roman" w:cs="Times New Roman"/>
          <w:sz w:val="24"/>
          <w:szCs w:val="24"/>
        </w:rPr>
        <w:t>Mt</w:t>
      </w:r>
      <w:proofErr w:type="spellEnd"/>
      <w:r w:rsidRPr="00AB5095">
        <w:rPr>
          <w:rFonts w:ascii="Times New Roman" w:hAnsi="Times New Roman" w:cs="Times New Roman"/>
          <w:sz w:val="24"/>
          <w:szCs w:val="24"/>
        </w:rPr>
        <w:t xml:space="preserve"> 24:31). </w:t>
      </w:r>
    </w:p>
    <w:p w14:paraId="6B7D2D54" w14:textId="77777777" w:rsidR="00E66730"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E o lugar para o qual os salvos serão levados nessa ocasião é indicado pelas próprias palavras do Salvador, ao confortar os discípulos na véspera de Sua crucifixão: "Na casa de Meu Pai há muitas moradas. Se assim não fora, </w:t>
      </w:r>
      <w:proofErr w:type="gramStart"/>
      <w:r w:rsidRPr="00AB5095">
        <w:rPr>
          <w:rFonts w:ascii="Times New Roman" w:hAnsi="Times New Roman" w:cs="Times New Roman"/>
          <w:sz w:val="24"/>
          <w:szCs w:val="24"/>
        </w:rPr>
        <w:t>Eu</w:t>
      </w:r>
      <w:proofErr w:type="gramEnd"/>
      <w:r w:rsidRPr="00AB5095">
        <w:rPr>
          <w:rFonts w:ascii="Times New Roman" w:hAnsi="Times New Roman" w:cs="Times New Roman"/>
          <w:sz w:val="24"/>
          <w:szCs w:val="24"/>
        </w:rPr>
        <w:t xml:space="preserve"> </w:t>
      </w:r>
      <w:proofErr w:type="spellStart"/>
      <w:r w:rsidRPr="00AB5095">
        <w:rPr>
          <w:rFonts w:ascii="Times New Roman" w:hAnsi="Times New Roman" w:cs="Times New Roman"/>
          <w:sz w:val="24"/>
          <w:szCs w:val="24"/>
        </w:rPr>
        <w:t>vo-lo</w:t>
      </w:r>
      <w:proofErr w:type="spellEnd"/>
      <w:r w:rsidRPr="00AB5095">
        <w:rPr>
          <w:rFonts w:ascii="Times New Roman" w:hAnsi="Times New Roman" w:cs="Times New Roman"/>
          <w:sz w:val="24"/>
          <w:szCs w:val="24"/>
        </w:rPr>
        <w:t xml:space="preserve"> teria dito. Pois vou preparar-vos lugar. E, quando Eu for e vos preparar lugar, voltarei e vos receberei para Mim mesmo, para que, onde Eu estou, estejais vós também" (</w:t>
      </w:r>
      <w:proofErr w:type="spellStart"/>
      <w:r w:rsidRPr="00AB5095">
        <w:rPr>
          <w:rFonts w:ascii="Times New Roman" w:hAnsi="Times New Roman" w:cs="Times New Roman"/>
          <w:sz w:val="24"/>
          <w:szCs w:val="24"/>
        </w:rPr>
        <w:t>Jo</w:t>
      </w:r>
      <w:proofErr w:type="spellEnd"/>
      <w:r w:rsidRPr="00AB5095">
        <w:rPr>
          <w:rFonts w:ascii="Times New Roman" w:hAnsi="Times New Roman" w:cs="Times New Roman"/>
          <w:sz w:val="24"/>
          <w:szCs w:val="24"/>
        </w:rPr>
        <w:t xml:space="preserve"> 14:2, 3). O lugar ao qual Cristo levará os Seus santos é descrito como "a casa de Meu Pai", onde há "muitas moradas". </w:t>
      </w:r>
    </w:p>
    <w:p w14:paraId="67779C15" w14:textId="77777777" w:rsidR="00FE7CBE" w:rsidRDefault="00FE7CBE" w:rsidP="00741FD9">
      <w:pPr>
        <w:spacing w:line="240" w:lineRule="auto"/>
        <w:ind w:left="-567" w:right="-568"/>
        <w:jc w:val="both"/>
        <w:rPr>
          <w:rFonts w:ascii="Times New Roman" w:hAnsi="Times New Roman" w:cs="Times New Roman"/>
          <w:b/>
          <w:sz w:val="24"/>
          <w:szCs w:val="24"/>
        </w:rPr>
      </w:pPr>
    </w:p>
    <w:p w14:paraId="575154C1" w14:textId="076276E3" w:rsidR="00AB5095" w:rsidRPr="00AB5095" w:rsidRDefault="00AB5095" w:rsidP="00741FD9">
      <w:pPr>
        <w:spacing w:after="0" w:line="240" w:lineRule="auto"/>
        <w:ind w:left="-567" w:right="-568"/>
        <w:jc w:val="both"/>
        <w:rPr>
          <w:rFonts w:ascii="Times New Roman" w:hAnsi="Times New Roman" w:cs="Times New Roman"/>
          <w:b/>
          <w:sz w:val="24"/>
          <w:szCs w:val="24"/>
        </w:rPr>
      </w:pPr>
      <w:r w:rsidRPr="00AB5095">
        <w:rPr>
          <w:rFonts w:ascii="Times New Roman" w:hAnsi="Times New Roman" w:cs="Times New Roman"/>
          <w:b/>
          <w:sz w:val="24"/>
          <w:szCs w:val="24"/>
        </w:rPr>
        <w:t>O JULGAMENTO E OS MIL ANOS</w:t>
      </w:r>
    </w:p>
    <w:p w14:paraId="662D5E7B" w14:textId="4042B013" w:rsidR="00AB5095" w:rsidRPr="00AB5095" w:rsidRDefault="00AB5095" w:rsidP="00741FD9">
      <w:pPr>
        <w:spacing w:after="0"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O apóstolo João descreve, muito concisamente, as atividades dos remidos no Céu: "Reinaram com Cristo durante mil anos"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20:4). Bem se poderia fazer a pergunta: Sobre quem reinarão os santos, se todos os ímpios foram destruídos? Que os santos receberão o reino acha-se especificamente </w:t>
      </w:r>
      <w:r w:rsidRPr="00AB5095">
        <w:rPr>
          <w:rFonts w:ascii="Times New Roman" w:hAnsi="Times New Roman" w:cs="Times New Roman"/>
          <w:sz w:val="24"/>
          <w:szCs w:val="24"/>
        </w:rPr>
        <w:lastRenderedPageBreak/>
        <w:t>declarado em outras passagens. Quando o sétimo anjo tocar a trombeta, "o reino do mundo" se tornará "de nosso Senhor e do Seu Cristo"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11:15). E Daniel diz que "o reino, e o domínio, e a majestade dos reinos debaixo de todo o céu serão dados ao povo dos santos do Altíssimo" (</w:t>
      </w:r>
      <w:proofErr w:type="spellStart"/>
      <w:r w:rsidRPr="00AB5095">
        <w:rPr>
          <w:rFonts w:ascii="Times New Roman" w:hAnsi="Times New Roman" w:cs="Times New Roman"/>
          <w:sz w:val="24"/>
          <w:szCs w:val="24"/>
        </w:rPr>
        <w:t>Dn</w:t>
      </w:r>
      <w:proofErr w:type="spellEnd"/>
      <w:r w:rsidRPr="00AB5095">
        <w:rPr>
          <w:rFonts w:ascii="Times New Roman" w:hAnsi="Times New Roman" w:cs="Times New Roman"/>
          <w:sz w:val="24"/>
          <w:szCs w:val="24"/>
        </w:rPr>
        <w:t xml:space="preserve"> 7:27). Os santos estiveram sob o opressor domínio dos reis que beberam do vinho da prostituição de Babilônia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18:3). Agora, invertem-se os papéis, e os santos do Altíssimo dominam sobre os opressores</w:t>
      </w:r>
      <w:r w:rsidRPr="00BD6C4C">
        <w:rPr>
          <w:rFonts w:ascii="Times New Roman" w:hAnsi="Times New Roman" w:cs="Times New Roman"/>
          <w:sz w:val="24"/>
          <w:szCs w:val="24"/>
        </w:rPr>
        <w:t xml:space="preserve">. </w:t>
      </w:r>
      <w:r w:rsidR="00BD6C4C" w:rsidRPr="00BD6C4C">
        <w:rPr>
          <w:rFonts w:ascii="Times New Roman" w:hAnsi="Times New Roman" w:cs="Times New Roman"/>
          <w:color w:val="C00000"/>
          <w:sz w:val="24"/>
          <w:szCs w:val="24"/>
        </w:rPr>
        <w:t>É</w:t>
      </w:r>
      <w:r w:rsidR="00BD6C4C">
        <w:rPr>
          <w:rFonts w:ascii="Times New Roman" w:hAnsi="Times New Roman" w:cs="Times New Roman"/>
          <w:color w:val="C00000"/>
          <w:sz w:val="24"/>
          <w:szCs w:val="24"/>
        </w:rPr>
        <w:t xml:space="preserve"> </w:t>
      </w:r>
      <w:r w:rsidRPr="00AB5095">
        <w:rPr>
          <w:rFonts w:ascii="Times New Roman" w:hAnsi="Times New Roman" w:cs="Times New Roman"/>
          <w:sz w:val="24"/>
          <w:szCs w:val="24"/>
        </w:rPr>
        <w:t>verdade que os ímpios estarão mortos, mas voltarão à vida no fim do milênio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20:5). Ficarão, por assim dizer, reservados para receber mais tarde seu castigo. O exercício do domínio dos justos sobre os ímpios é indicado pelas expressões: "Aqueles aos quais foi dada autoridade de julgar" (v. 4) e "reinaram com Cristo" (v. 4), a quem foram dados "todos os domínios" (</w:t>
      </w:r>
      <w:proofErr w:type="spellStart"/>
      <w:r w:rsidRPr="00AB5095">
        <w:rPr>
          <w:rFonts w:ascii="Times New Roman" w:hAnsi="Times New Roman" w:cs="Times New Roman"/>
          <w:sz w:val="24"/>
          <w:szCs w:val="24"/>
        </w:rPr>
        <w:t>Dn</w:t>
      </w:r>
      <w:proofErr w:type="spellEnd"/>
      <w:r w:rsidRPr="00AB5095">
        <w:rPr>
          <w:rFonts w:ascii="Times New Roman" w:hAnsi="Times New Roman" w:cs="Times New Roman"/>
          <w:sz w:val="24"/>
          <w:szCs w:val="24"/>
        </w:rPr>
        <w:t xml:space="preserve"> 7:27). </w:t>
      </w:r>
    </w:p>
    <w:p w14:paraId="7766177E" w14:textId="440BC4D3"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Tanto Daniel como João declaram que o julgamento foi dado aos santos, ou aos ressurretos (</w:t>
      </w:r>
      <w:proofErr w:type="spellStart"/>
      <w:r w:rsidRPr="00AB5095">
        <w:rPr>
          <w:rFonts w:ascii="Times New Roman" w:hAnsi="Times New Roman" w:cs="Times New Roman"/>
          <w:sz w:val="24"/>
          <w:szCs w:val="24"/>
        </w:rPr>
        <w:t>Dn</w:t>
      </w:r>
      <w:proofErr w:type="spellEnd"/>
      <w:r w:rsidRPr="00AB5095">
        <w:rPr>
          <w:rFonts w:ascii="Times New Roman" w:hAnsi="Times New Roman" w:cs="Times New Roman"/>
          <w:sz w:val="24"/>
          <w:szCs w:val="24"/>
        </w:rPr>
        <w:t xml:space="preserve"> 7:22;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20:4). A obra do julgamento a que se refere o revelador é, sem dúvida, a mesma a que se refere o apóstolo Paulo: "Não sabeis que os santos hão de julgar o mundo? [...] Não sabeis que havemos de julgar os próprios anjos?" (1Co 6:2, 3). A obra do julgamento bem pode abranger uma cuidadosa investigação dos registros dos homens maus e a decisão acerca do castigo devido a cada pecador, pela parte que teve na rebelião contra Deus. </w:t>
      </w:r>
    </w:p>
    <w:p w14:paraId="74B83DF3" w14:textId="77777777" w:rsidR="00AB5095" w:rsidRPr="00AB5095" w:rsidRDefault="00AB5095" w:rsidP="00741FD9">
      <w:pPr>
        <w:spacing w:line="240" w:lineRule="auto"/>
        <w:ind w:left="-567" w:right="-568"/>
        <w:contextualSpacing/>
        <w:rPr>
          <w:rFonts w:ascii="Times New Roman" w:hAnsi="Times New Roman" w:cs="Times New Roman"/>
          <w:b/>
          <w:sz w:val="24"/>
          <w:szCs w:val="24"/>
        </w:rPr>
      </w:pPr>
      <w:r w:rsidRPr="00AB5095">
        <w:rPr>
          <w:rFonts w:ascii="Times New Roman" w:hAnsi="Times New Roman" w:cs="Times New Roman"/>
          <w:b/>
          <w:sz w:val="24"/>
          <w:szCs w:val="24"/>
        </w:rPr>
        <w:t>A TERRA COMO DESOLADO CÁRCERE DE SATANÁS</w:t>
      </w:r>
    </w:p>
    <w:p w14:paraId="5B2D8205" w14:textId="2962EE5F"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As descrições da Bíblia acerca do segundo advento de Cristo não só pintam a destruição de todos os ímpios que vivem na Terra, mas também a desolação do globo. Em Apocalipse 6, os efeitos terrestres da vinda de Cristo são descritos de maneira concisa, mas viva: "Todos os montes e ilhas foram movidos dos seus lugares" (v. 14). Em Apocalipse 11 são descritos novamente os acontecimentos finais: "Sobrevieram relâmpagos, vozes, trovões, terremotos e grande saraivada" (v. 19).  Em Apocalipse 16, sob a sétima praga, os pormenores da destruição são delineados mais vividamente: "Derramou o sétimo anjo a sua taça pelo ar, e saiu grande voz do santuário, do lado do trono, dizendo: Feito está! E sobrevieram relâmpagos, vozes e trovões, e ocorreu grande terremoto, como nunca houve igual desde que há gente sobre a Terra; tal foi o terremoto, forte e grande. E a grande cidade se dividiu em três partes, e caíram as cidades das nações. [...] Todas as ilhas fugiram, e os montes não foram achados; também desabou do céu sobre os homens grande saraivada, com pedras que pesavam cerca de um talento" (v. 17</w:t>
      </w:r>
      <w:r w:rsidR="00854383">
        <w:rPr>
          <w:rFonts w:ascii="Times New Roman" w:hAnsi="Times New Roman" w:cs="Times New Roman"/>
          <w:sz w:val="24"/>
          <w:szCs w:val="24"/>
        </w:rPr>
        <w:t xml:space="preserve">, </w:t>
      </w:r>
      <w:r w:rsidRPr="00AB5095">
        <w:rPr>
          <w:rFonts w:ascii="Times New Roman" w:hAnsi="Times New Roman" w:cs="Times New Roman"/>
          <w:sz w:val="24"/>
          <w:szCs w:val="24"/>
        </w:rPr>
        <w:t xml:space="preserve">21). </w:t>
      </w:r>
    </w:p>
    <w:p w14:paraId="67C209B0" w14:textId="535F7B0B"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O confinamento de Satanás à Terra, nessa condição, é muito adequadamente descrito na linguagem simbólica da profecia: "Ele segurou o dragão, a antiga serpente, que é o diabo, Satanás, e o prendeu por mil anos; lançou-o no abismo, fechou-o, e pôs selo sobre ele, para que não mais enganasse as nações até se completarem os mil anos"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20:2, 3). </w:t>
      </w:r>
    </w:p>
    <w:p w14:paraId="19FA8E4A"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Os adventistas do sétimo dia atribuem outro significado ainda ao desolado encerramento milenial de Satanás. No simbolismo do Dia da Expiação celebrado outrora por Israel no serviço simbólico do santuário, depois que o bode "pelo Senhor" era imolado como sacrifício expiatório, cancelava-se a culpa do pecador arrependido, e seus pecados eram perdoados, simbolicamente, graças ao sangue derramado. Então, completada assim a expiação, o outro bode ("por Azazel") - que cremos simbolizar Satanás, o maligno sedutor do homem - era declarado culpado de ter instigado todo o mal, e era levado vivo para o deserto desabitado, arcando com o peso da responsabilidade por todos os pecados que levara Israel a cometer (</w:t>
      </w:r>
      <w:proofErr w:type="spellStart"/>
      <w:r w:rsidRPr="00AB5095">
        <w:rPr>
          <w:rFonts w:ascii="Times New Roman" w:hAnsi="Times New Roman" w:cs="Times New Roman"/>
          <w:sz w:val="24"/>
          <w:szCs w:val="24"/>
        </w:rPr>
        <w:t>Lv</w:t>
      </w:r>
      <w:proofErr w:type="spellEnd"/>
      <w:r w:rsidRPr="00AB5095">
        <w:rPr>
          <w:rFonts w:ascii="Times New Roman" w:hAnsi="Times New Roman" w:cs="Times New Roman"/>
          <w:sz w:val="24"/>
          <w:szCs w:val="24"/>
        </w:rPr>
        <w:t xml:space="preserve"> 16:20-22). </w:t>
      </w:r>
    </w:p>
    <w:p w14:paraId="4F83A17D" w14:textId="4E14A4CB"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Assim, a pena era </w:t>
      </w:r>
      <w:proofErr w:type="gramStart"/>
      <w:r w:rsidRPr="00AB5095">
        <w:rPr>
          <w:rFonts w:ascii="Times New Roman" w:hAnsi="Times New Roman" w:cs="Times New Roman"/>
          <w:sz w:val="24"/>
          <w:szCs w:val="24"/>
        </w:rPr>
        <w:t>primeiro</w:t>
      </w:r>
      <w:proofErr w:type="gramEnd"/>
      <w:r w:rsidRPr="00AB5095">
        <w:rPr>
          <w:rFonts w:ascii="Times New Roman" w:hAnsi="Times New Roman" w:cs="Times New Roman"/>
          <w:sz w:val="24"/>
          <w:szCs w:val="24"/>
        </w:rPr>
        <w:t xml:space="preserve"> perdoada ao pecador arrependido, mediante o substituto de designação divina, simbolizando Cristo. Depois, a punição retributiva era imposta ao tipo do arquitentador e instigador ao pecado, que era deixado a perecer no deserto. Cremos que isso seja parte do quadro representado pelo confinamento de Satanás, que será "preso", não mais tendo oportunidade de enganar as nações, até o término dos mil anos.  </w:t>
      </w:r>
    </w:p>
    <w:p w14:paraId="1C4F90DF" w14:textId="77777777" w:rsidR="00AB5095" w:rsidRPr="00AB5095" w:rsidRDefault="00AB5095" w:rsidP="00741FD9">
      <w:pPr>
        <w:spacing w:after="0" w:line="240" w:lineRule="auto"/>
        <w:ind w:left="-567" w:right="-568"/>
        <w:contextualSpacing/>
        <w:rPr>
          <w:rFonts w:ascii="Times New Roman" w:hAnsi="Times New Roman" w:cs="Times New Roman"/>
          <w:b/>
          <w:sz w:val="24"/>
          <w:szCs w:val="24"/>
        </w:rPr>
      </w:pPr>
      <w:r w:rsidRPr="00AB5095">
        <w:rPr>
          <w:rFonts w:ascii="Times New Roman" w:hAnsi="Times New Roman" w:cs="Times New Roman"/>
          <w:b/>
          <w:sz w:val="24"/>
          <w:szCs w:val="24"/>
        </w:rPr>
        <w:t>RESSURREIÇÃO LITERAL, O FATO CENTRAL DO EVANGELHO</w:t>
      </w:r>
    </w:p>
    <w:p w14:paraId="337579A7" w14:textId="0EA22CBE" w:rsidR="00AB5095" w:rsidRPr="00AB5095" w:rsidRDefault="00AB5095" w:rsidP="00741FD9">
      <w:pPr>
        <w:spacing w:after="0"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Os adventistas do sétimo dia sustentam que a doutrina cristã da vida futura se baseia na "ressurreição" (1Co 15:51-55; 1Ts 4:16). Os justos, </w:t>
      </w:r>
      <w:r w:rsidRPr="00BD6C4C">
        <w:rPr>
          <w:rFonts w:ascii="Times New Roman" w:hAnsi="Times New Roman" w:cs="Times New Roman"/>
          <w:color w:val="C00000"/>
          <w:sz w:val="24"/>
          <w:szCs w:val="24"/>
        </w:rPr>
        <w:t>re</w:t>
      </w:r>
      <w:r w:rsidR="00BD6C4C" w:rsidRPr="00BD6C4C">
        <w:rPr>
          <w:rFonts w:ascii="Times New Roman" w:hAnsi="Times New Roman" w:cs="Times New Roman"/>
          <w:color w:val="C00000"/>
          <w:sz w:val="24"/>
          <w:szCs w:val="24"/>
        </w:rPr>
        <w:t>v</w:t>
      </w:r>
      <w:r w:rsidRPr="00BD6C4C">
        <w:rPr>
          <w:rFonts w:ascii="Times New Roman" w:hAnsi="Times New Roman" w:cs="Times New Roman"/>
          <w:color w:val="C00000"/>
          <w:sz w:val="24"/>
          <w:szCs w:val="24"/>
        </w:rPr>
        <w:t>ivi</w:t>
      </w:r>
      <w:r w:rsidR="00BD6C4C" w:rsidRPr="00BD6C4C">
        <w:rPr>
          <w:rFonts w:ascii="Times New Roman" w:hAnsi="Times New Roman" w:cs="Times New Roman"/>
          <w:color w:val="C00000"/>
          <w:sz w:val="24"/>
          <w:szCs w:val="24"/>
        </w:rPr>
        <w:t>d</w:t>
      </w:r>
      <w:r w:rsidRPr="00BD6C4C">
        <w:rPr>
          <w:rFonts w:ascii="Times New Roman" w:hAnsi="Times New Roman" w:cs="Times New Roman"/>
          <w:color w:val="C00000"/>
          <w:sz w:val="24"/>
          <w:szCs w:val="24"/>
        </w:rPr>
        <w:t>os</w:t>
      </w:r>
      <w:r w:rsidRPr="00AB5095">
        <w:rPr>
          <w:rFonts w:ascii="Times New Roman" w:hAnsi="Times New Roman" w:cs="Times New Roman"/>
          <w:sz w:val="24"/>
          <w:szCs w:val="24"/>
        </w:rPr>
        <w:t xml:space="preserve"> por meio da primeira ressurreição, não têm parte na segunda morte, que é destinada somente aos ímpios. E depois da segunda morte não há para os ímpios </w:t>
      </w:r>
      <w:r w:rsidRPr="00AB5095">
        <w:rPr>
          <w:rFonts w:ascii="Times New Roman" w:hAnsi="Times New Roman" w:cs="Times New Roman"/>
          <w:sz w:val="24"/>
          <w:szCs w:val="24"/>
        </w:rPr>
        <w:lastRenderedPageBreak/>
        <w:t>outra ressurreição, ou vida futura. A ressurreição do segundo advento assinala o começo da imortalidade dos santos (1Co 15:51-57).</w:t>
      </w:r>
    </w:p>
    <w:p w14:paraId="3CC8CFD0" w14:textId="08F16D8E" w:rsid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Apocalipse 20 separa a primeira ressurreição daquela do restante dos mortos, colocando-a no princípio dos mil anos. Sobre os que participam desta ressurreição, "a segunda morte não tem autoridade" (v. 6). E é-nos dito expressamente que os justos ressurgidos, chamados "bem-aventurados e santos" (v. 6), vivem e reinam (v. 4) com Cristo durante os mil anos. Não só ressurgem para a vida, como continuam a viver por toda a eternidade. </w:t>
      </w:r>
    </w:p>
    <w:p w14:paraId="7ED937B9"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A primeira ressurreição (a dos justos) contrasta obviamente com a segunda (a dos ímpios), que ocorre no fim dos mil anos. E "os restantes dos mortos" contrastam com o primeiro grupo dos mortos, mencionado anteriormente. O apóstolo Paulo diz que será vivificado "cada um, porém, por sua ordem" (1Co 15:23). Primeiro veio a ressurreição de Cristo, as primícias. Então, vem a dos santos, na segunda vinda. E afinal, transcorridos os mil anos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 ressurgem os ímpios. Há positivamente uma ressurreição dos justos e outra dos injustos (At 24:15). Essas ressurreições estão separadas por um período de mil anos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20:4, 5) — a primeira para vida e a segunda para condenação (</w:t>
      </w:r>
      <w:proofErr w:type="spellStart"/>
      <w:r w:rsidRPr="00AB5095">
        <w:rPr>
          <w:rFonts w:ascii="Times New Roman" w:hAnsi="Times New Roman" w:cs="Times New Roman"/>
          <w:sz w:val="24"/>
          <w:szCs w:val="24"/>
        </w:rPr>
        <w:t>Jo</w:t>
      </w:r>
      <w:proofErr w:type="spellEnd"/>
      <w:r w:rsidRPr="00AB5095">
        <w:rPr>
          <w:rFonts w:ascii="Times New Roman" w:hAnsi="Times New Roman" w:cs="Times New Roman"/>
          <w:sz w:val="24"/>
          <w:szCs w:val="24"/>
        </w:rPr>
        <w:t xml:space="preserve"> 5:29). </w:t>
      </w:r>
    </w:p>
    <w:p w14:paraId="79441414" w14:textId="77777777" w:rsidR="00AB5095" w:rsidRPr="00AB5095" w:rsidRDefault="00AB5095" w:rsidP="00741FD9">
      <w:pPr>
        <w:spacing w:line="240" w:lineRule="auto"/>
        <w:ind w:left="-567" w:right="-568"/>
        <w:contextualSpacing/>
        <w:rPr>
          <w:rFonts w:ascii="Times New Roman" w:hAnsi="Times New Roman" w:cs="Times New Roman"/>
          <w:b/>
          <w:sz w:val="24"/>
          <w:szCs w:val="24"/>
        </w:rPr>
      </w:pPr>
      <w:r w:rsidRPr="00AB5095">
        <w:rPr>
          <w:rFonts w:ascii="Times New Roman" w:hAnsi="Times New Roman" w:cs="Times New Roman"/>
          <w:b/>
          <w:sz w:val="24"/>
          <w:szCs w:val="24"/>
        </w:rPr>
        <w:t>SATANÁS SOLTO POR UM POUCO, NO FIM DO MILÊNIO</w:t>
      </w:r>
    </w:p>
    <w:p w14:paraId="43C343C5"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O cenário da Terra é de fato sombrio: destroços de cidades outrora fervilhantes, ruína de toda a pompa e esplendor, sinistras recordações do mundo pululante que Satanás levara à fútil rebelião contra Deus. E então, ao fim dos mil anos, Cristo, acompanhado de todos os santos, desce à Terra com terrível poder, glória e majestade, para executar juízo sobre os ímpios. Ordena, então, aos ímpios mortos que ressurjam. Em resposta, aparecem as hostes poderosas, incontáveis como a areia do mar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20:8). Não só o </w:t>
      </w:r>
      <w:proofErr w:type="gramStart"/>
      <w:r w:rsidRPr="00AB5095">
        <w:rPr>
          <w:rFonts w:ascii="Times New Roman" w:hAnsi="Times New Roman" w:cs="Times New Roman"/>
          <w:sz w:val="24"/>
          <w:szCs w:val="24"/>
        </w:rPr>
        <w:t>"mar"</w:t>
      </w:r>
      <w:proofErr w:type="gramEnd"/>
      <w:r w:rsidRPr="00AB5095">
        <w:rPr>
          <w:rFonts w:ascii="Times New Roman" w:hAnsi="Times New Roman" w:cs="Times New Roman"/>
          <w:sz w:val="24"/>
          <w:szCs w:val="24"/>
        </w:rPr>
        <w:t xml:space="preserve"> mas também a "morte" (inseparável aliada do pecado) e o "inferno" (grego </w:t>
      </w:r>
      <w:proofErr w:type="spellStart"/>
      <w:r w:rsidRPr="00AB5095">
        <w:rPr>
          <w:rFonts w:ascii="Times New Roman" w:hAnsi="Times New Roman" w:cs="Times New Roman"/>
          <w:sz w:val="24"/>
          <w:szCs w:val="24"/>
        </w:rPr>
        <w:t>hades</w:t>
      </w:r>
      <w:proofErr w:type="spellEnd"/>
      <w:r w:rsidRPr="00AB5095">
        <w:rPr>
          <w:rFonts w:ascii="Times New Roman" w:hAnsi="Times New Roman" w:cs="Times New Roman"/>
          <w:sz w:val="24"/>
          <w:szCs w:val="24"/>
        </w:rPr>
        <w:t xml:space="preserve">), cruel receptáculo da presa da morte, cada qual entrega sua cota de ímpios mortos. </w:t>
      </w:r>
    </w:p>
    <w:p w14:paraId="350BA3D3" w14:textId="62BE4FCA"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Isso está em harmonia com a descrição de Isaías: "Serão ajuntados como presos em masmorra, e encerrados num cárcere, e castigados depois de muitos dias" (</w:t>
      </w:r>
      <w:proofErr w:type="spellStart"/>
      <w:r w:rsidRPr="00AB5095">
        <w:rPr>
          <w:rFonts w:ascii="Times New Roman" w:hAnsi="Times New Roman" w:cs="Times New Roman"/>
          <w:sz w:val="24"/>
          <w:szCs w:val="24"/>
        </w:rPr>
        <w:t>Is</w:t>
      </w:r>
      <w:proofErr w:type="spellEnd"/>
      <w:r w:rsidRPr="00AB5095">
        <w:rPr>
          <w:rFonts w:ascii="Times New Roman" w:hAnsi="Times New Roman" w:cs="Times New Roman"/>
          <w:sz w:val="24"/>
          <w:szCs w:val="24"/>
        </w:rPr>
        <w:t xml:space="preserve"> 24:22). Mas esta segunda ressurreição é a ressurreição da "condenação" (</w:t>
      </w:r>
      <w:proofErr w:type="spellStart"/>
      <w:r w:rsidRPr="00AB5095">
        <w:rPr>
          <w:rFonts w:ascii="Times New Roman" w:hAnsi="Times New Roman" w:cs="Times New Roman"/>
          <w:sz w:val="24"/>
          <w:szCs w:val="24"/>
        </w:rPr>
        <w:t>Jo</w:t>
      </w:r>
      <w:proofErr w:type="spellEnd"/>
      <w:r w:rsidRPr="00AB5095">
        <w:rPr>
          <w:rFonts w:ascii="Times New Roman" w:hAnsi="Times New Roman" w:cs="Times New Roman"/>
          <w:sz w:val="24"/>
          <w:szCs w:val="24"/>
        </w:rPr>
        <w:t xml:space="preserve"> 5:29). Esses que agora ressurgem constituem os "restantes dos mortos", que "não reviveram até que se completassem os mil anos"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20:5). E as nações de Gogue e Magogue voltam à vida mediante a segunda ressurreição. E se espalham pelo mundo. </w:t>
      </w:r>
    </w:p>
    <w:p w14:paraId="1A98A587"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Os ímpios ressuscitam com o mesmo espírito rebelde que os possuía em vida, e permanecem na presença do Eterno. Veem a vasta cidade de Deus, a Nova Jerusalém, descendo do céu, da parte de Deus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21:2, 3). Cristo volta ao mesmo Monte das Oliveiras, fora da Antiga Jerusalém (</w:t>
      </w:r>
      <w:proofErr w:type="spellStart"/>
      <w:r w:rsidRPr="00AB5095">
        <w:rPr>
          <w:rFonts w:ascii="Times New Roman" w:hAnsi="Times New Roman" w:cs="Times New Roman"/>
          <w:sz w:val="24"/>
          <w:szCs w:val="24"/>
        </w:rPr>
        <w:t>Zc</w:t>
      </w:r>
      <w:proofErr w:type="spellEnd"/>
      <w:r w:rsidRPr="00AB5095">
        <w:rPr>
          <w:rFonts w:ascii="Times New Roman" w:hAnsi="Times New Roman" w:cs="Times New Roman"/>
          <w:sz w:val="24"/>
          <w:szCs w:val="24"/>
        </w:rPr>
        <w:t xml:space="preserve"> 14:4), do qual ascendeu após Sua ressurreição, quando os mensageiros angélicos asseguraram aos discípulos que Ele voltaria (At 1:9-12). </w:t>
      </w:r>
    </w:p>
    <w:p w14:paraId="6D12F7A5"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Graças à ressurreição dos ímpios, Satanás é "solto por um pouco de tempo"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20:3). Terminada está a ociosidade a ele imposta, depois do período de mil anos de cativeiro (v. 7,8). Uma desesperada esperança renasce-lhe no coração maligno, ao ver as inumeráveis hostes de ímpios de todos os séculos. Sobrevirá, então, a última e poderosíssima luta pela supremacia. Satanás os convence de que são capazes de tomar a cidade de Deus e, assumindo o comando, dispõe freneticamente as fileiras ímpias em ordem de batalha, levando-as ao inútil assalto final ao "arraial dos santos", a amada Cidade Santa, num empenho de subverter o reino de Deus (v. 8, 9). Os ímpios, que obstinadamente recusaram-se a entrar na cidade de Deus por intermédio dos méritos da expiação sacrifical de Cristo, determinam-se então a conseguir entrada e domínio, sitiando-a para tomá-la de assalto. </w:t>
      </w:r>
    </w:p>
    <w:p w14:paraId="0BB35959"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Transcorre agora o último ato no grande conflito dos séculos, quando a humanidade inteira se vê face a face, pela primeira e última vez. A derradeira e suprema tentativa de Satanás mostra que ele está ainda em rebelião, e os homens maus demonstram serem visceralmente ímpios. A separação eterna entre justos e ímpios fixa-se então irrevogavelmente. Assim, do grande trono branco, é proferida a sentença de condenação dos ímpios. E a sentença é seguida de execução imediata. </w:t>
      </w:r>
    </w:p>
    <w:p w14:paraId="7A776E17"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lastRenderedPageBreak/>
        <w:t>É, evidentemente, durante esse último episódio que se cumprem as palavras do Mestre: "Ali haverá choro e ranger de dentes, quando virdes, no reino de Deus, Abraão, Isaque, Jacó e todos os profetas, mas vós, lançados fora" (</w:t>
      </w:r>
      <w:proofErr w:type="spellStart"/>
      <w:r w:rsidRPr="00AB5095">
        <w:rPr>
          <w:rFonts w:ascii="Times New Roman" w:hAnsi="Times New Roman" w:cs="Times New Roman"/>
          <w:sz w:val="24"/>
          <w:szCs w:val="24"/>
        </w:rPr>
        <w:t>Lc</w:t>
      </w:r>
      <w:proofErr w:type="spellEnd"/>
      <w:r w:rsidRPr="00AB5095">
        <w:rPr>
          <w:rFonts w:ascii="Times New Roman" w:hAnsi="Times New Roman" w:cs="Times New Roman"/>
          <w:sz w:val="24"/>
          <w:szCs w:val="24"/>
        </w:rPr>
        <w:t xml:space="preserve"> 13:28).  </w:t>
      </w:r>
    </w:p>
    <w:p w14:paraId="52C7627D" w14:textId="77777777" w:rsidR="00AB5095" w:rsidRPr="00AB5095" w:rsidRDefault="00AB5095" w:rsidP="00741FD9">
      <w:pPr>
        <w:spacing w:line="240" w:lineRule="auto"/>
        <w:ind w:left="-567" w:right="-568"/>
        <w:contextualSpacing/>
        <w:rPr>
          <w:rFonts w:ascii="Times New Roman" w:hAnsi="Times New Roman" w:cs="Times New Roman"/>
          <w:b/>
          <w:sz w:val="24"/>
          <w:szCs w:val="24"/>
        </w:rPr>
      </w:pPr>
      <w:r w:rsidRPr="00AB5095">
        <w:rPr>
          <w:rFonts w:ascii="Times New Roman" w:hAnsi="Times New Roman" w:cs="Times New Roman"/>
          <w:b/>
          <w:sz w:val="24"/>
          <w:szCs w:val="24"/>
        </w:rPr>
        <w:t>DESTRUIÇÃO FINAL DE SATANÁS E DOS ÍMPIOS</w:t>
      </w:r>
    </w:p>
    <w:p w14:paraId="461A323F"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 xml:space="preserve">O drama dos séculos termina com a final e irrevogável derrota de Satanás, e seu completo extermínio (assim como de todos os que o seguem) quando, da parte de Deus, desce fogo do céu e o devora (2Pe 3:10, 11;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20:9). A própria superfície da Terra parece fundir-se, e torna-se um vasto "lago de fogo" em ebulição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20:10), para "destruição dos homens ímpios" (2Pe 3:7).</w:t>
      </w:r>
    </w:p>
    <w:p w14:paraId="710671BF" w14:textId="5CFADA4E" w:rsidR="00AB5095" w:rsidRPr="00AB5095" w:rsidRDefault="00AB5095" w:rsidP="00741FD9">
      <w:pPr>
        <w:spacing w:line="240" w:lineRule="auto"/>
        <w:ind w:left="-567" w:right="-568"/>
        <w:jc w:val="both"/>
        <w:rPr>
          <w:rFonts w:ascii="Times New Roman" w:hAnsi="Times New Roman" w:cs="Times New Roman"/>
          <w:i/>
          <w:iCs/>
          <w:sz w:val="24"/>
          <w:szCs w:val="24"/>
        </w:rPr>
      </w:pPr>
      <w:r w:rsidRPr="00AB5095">
        <w:rPr>
          <w:rFonts w:ascii="Times New Roman" w:hAnsi="Times New Roman" w:cs="Times New Roman"/>
          <w:sz w:val="24"/>
          <w:szCs w:val="24"/>
        </w:rPr>
        <w:t xml:space="preserve">A Terra "arde como fornalha"; os ímpios "serão como o restolho; o dia que vem os abrasará, diz o Senhor dos Exércitos" (Ml 4:1). Assim, nas chamas purificadoras da conflagração final, os ímpios (Satanás, anjos maus e homens impenitentes) são todos finalmente destruídos pelo fogo, raiz e ramos. Mesmo a morte e o </w:t>
      </w:r>
      <w:proofErr w:type="spellStart"/>
      <w:r w:rsidRPr="00AB5095">
        <w:rPr>
          <w:rFonts w:ascii="Times New Roman" w:hAnsi="Times New Roman" w:cs="Times New Roman"/>
          <w:sz w:val="24"/>
          <w:szCs w:val="24"/>
        </w:rPr>
        <w:t>hades</w:t>
      </w:r>
      <w:proofErr w:type="spellEnd"/>
      <w:r w:rsidRPr="00AB5095">
        <w:rPr>
          <w:rFonts w:ascii="Times New Roman" w:hAnsi="Times New Roman" w:cs="Times New Roman"/>
          <w:sz w:val="24"/>
          <w:szCs w:val="24"/>
        </w:rPr>
        <w:t>, parceiros mútuos, são lançados nesse lago de fogo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20:14), sem alívio nem escape de sua terrível destruição. A punição é eterna (</w:t>
      </w:r>
      <w:proofErr w:type="spellStart"/>
      <w:r w:rsidRPr="00AB5095">
        <w:rPr>
          <w:rFonts w:ascii="Times New Roman" w:hAnsi="Times New Roman" w:cs="Times New Roman"/>
          <w:sz w:val="24"/>
          <w:szCs w:val="24"/>
        </w:rPr>
        <w:t>Mt</w:t>
      </w:r>
      <w:proofErr w:type="spellEnd"/>
      <w:r w:rsidRPr="00AB5095">
        <w:rPr>
          <w:rFonts w:ascii="Times New Roman" w:hAnsi="Times New Roman" w:cs="Times New Roman"/>
          <w:sz w:val="24"/>
          <w:szCs w:val="24"/>
        </w:rPr>
        <w:t xml:space="preserve"> 25:46),8 e constitui a segunda morte, da qual não há ressurreição. </w:t>
      </w:r>
    </w:p>
    <w:p w14:paraId="1F46B00A" w14:textId="5E6B2914"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Esse fogo foi preparado primariamente para o diabo e seus anjos (</w:t>
      </w:r>
      <w:proofErr w:type="spellStart"/>
      <w:r w:rsidRPr="00AB5095">
        <w:rPr>
          <w:rFonts w:ascii="Times New Roman" w:hAnsi="Times New Roman" w:cs="Times New Roman"/>
          <w:sz w:val="24"/>
          <w:szCs w:val="24"/>
        </w:rPr>
        <w:t>Mt</w:t>
      </w:r>
      <w:proofErr w:type="spellEnd"/>
      <w:r w:rsidRPr="00AB5095">
        <w:rPr>
          <w:rFonts w:ascii="Times New Roman" w:hAnsi="Times New Roman" w:cs="Times New Roman"/>
          <w:sz w:val="24"/>
          <w:szCs w:val="24"/>
        </w:rPr>
        <w:t xml:space="preserve"> 25:41). Mas ele atinge todos os que preferem segui-los. </w:t>
      </w:r>
      <w:r w:rsidR="008A57BE" w:rsidRPr="008A57BE">
        <w:rPr>
          <w:rFonts w:ascii="Times New Roman" w:hAnsi="Times New Roman" w:cs="Times New Roman"/>
          <w:color w:val="C00000"/>
          <w:sz w:val="24"/>
          <w:szCs w:val="24"/>
        </w:rPr>
        <w:t>É</w:t>
      </w:r>
      <w:r w:rsidRPr="00AB5095">
        <w:rPr>
          <w:rFonts w:ascii="Times New Roman" w:hAnsi="Times New Roman" w:cs="Times New Roman"/>
          <w:sz w:val="24"/>
          <w:szCs w:val="24"/>
        </w:rPr>
        <w:t xml:space="preserve"> esse o fogo da Geena, que consome completamente tudo que lhe é entregue (Mc 9:43-48). Davi predisse: "Fará chover sobre os perversos brasas de fogo e enxofre, e vento abrasador será a parte do seu cálice" (SI 11:6). Tal é a condenação final que extermina para sempre a longa rebelião contra Deus, Sua lei e Seu governo. </w:t>
      </w:r>
    </w:p>
    <w:p w14:paraId="75DC28A6" w14:textId="77777777"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Mas sobre os justos, que ressurgirão na primeira ressurreição, "a segunda morte não tem autoridade"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20:6). Os santos habitarão tranquilos e seguros na cidade de Deus, em meio ao "fogo devorador" e às "chamas eternas" (</w:t>
      </w:r>
      <w:proofErr w:type="spellStart"/>
      <w:r w:rsidRPr="00AB5095">
        <w:rPr>
          <w:rFonts w:ascii="Times New Roman" w:hAnsi="Times New Roman" w:cs="Times New Roman"/>
          <w:sz w:val="24"/>
          <w:szCs w:val="24"/>
        </w:rPr>
        <w:t>Is</w:t>
      </w:r>
      <w:proofErr w:type="spellEnd"/>
      <w:r w:rsidRPr="00AB5095">
        <w:rPr>
          <w:rFonts w:ascii="Times New Roman" w:hAnsi="Times New Roman" w:cs="Times New Roman"/>
          <w:sz w:val="24"/>
          <w:szCs w:val="24"/>
        </w:rPr>
        <w:t xml:space="preserve"> 33:14). Enquanto para os ímpios Deus é "fogo consumidor" (</w:t>
      </w:r>
      <w:proofErr w:type="spellStart"/>
      <w:r w:rsidRPr="00AB5095">
        <w:rPr>
          <w:rFonts w:ascii="Times New Roman" w:hAnsi="Times New Roman" w:cs="Times New Roman"/>
          <w:sz w:val="24"/>
          <w:szCs w:val="24"/>
        </w:rPr>
        <w:t>Hb</w:t>
      </w:r>
      <w:proofErr w:type="spellEnd"/>
      <w:r w:rsidRPr="00AB5095">
        <w:rPr>
          <w:rFonts w:ascii="Times New Roman" w:hAnsi="Times New Roman" w:cs="Times New Roman"/>
          <w:sz w:val="24"/>
          <w:szCs w:val="24"/>
        </w:rPr>
        <w:t xml:space="preserve"> 12:29), para os justos é Ele um escudo protetor. </w:t>
      </w:r>
    </w:p>
    <w:p w14:paraId="1A107147" w14:textId="1E95D02F" w:rsidR="00AB5095" w:rsidRPr="00AB5095" w:rsidRDefault="00AB5095" w:rsidP="00741FD9">
      <w:pPr>
        <w:spacing w:line="240" w:lineRule="auto"/>
        <w:ind w:left="-567" w:right="-568"/>
        <w:jc w:val="both"/>
        <w:rPr>
          <w:rFonts w:ascii="Times New Roman" w:hAnsi="Times New Roman" w:cs="Times New Roman"/>
          <w:sz w:val="24"/>
          <w:szCs w:val="24"/>
        </w:rPr>
      </w:pPr>
      <w:r w:rsidRPr="00AB5095">
        <w:rPr>
          <w:rFonts w:ascii="Times New Roman" w:hAnsi="Times New Roman" w:cs="Times New Roman"/>
          <w:sz w:val="24"/>
          <w:szCs w:val="24"/>
        </w:rPr>
        <w:t>Do meio das fumegantes ruínas da velha Terra, ressurgem "novo céu e nova Terra"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21:1), onde os remidos encontrarão sua herança eterna e eterna habitação. Ao surgir a nova Terra, lamentos, lágrimas, dor e morte deixarão de existir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21:4). Destruída estará a morte (1Co 15:26;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21:4). Não mais haverá maldição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22:3), e Deus será "tudo em todos" (1Co 15:28). </w:t>
      </w:r>
    </w:p>
    <w:p w14:paraId="03D665C5" w14:textId="5013C0CD" w:rsidR="00AB5095" w:rsidRPr="00D6717A" w:rsidRDefault="00AB5095" w:rsidP="00741FD9">
      <w:pPr>
        <w:spacing w:line="240" w:lineRule="auto"/>
        <w:ind w:left="-567" w:right="-568"/>
        <w:jc w:val="both"/>
        <w:rPr>
          <w:rFonts w:ascii="Times New Roman" w:hAnsi="Times New Roman" w:cs="Times New Roman"/>
          <w:color w:val="FF0000"/>
          <w:sz w:val="24"/>
          <w:szCs w:val="24"/>
        </w:rPr>
      </w:pPr>
      <w:r w:rsidRPr="00AB5095">
        <w:rPr>
          <w:rFonts w:ascii="Times New Roman" w:hAnsi="Times New Roman" w:cs="Times New Roman"/>
          <w:sz w:val="24"/>
          <w:szCs w:val="24"/>
        </w:rPr>
        <w:t xml:space="preserve">O fim do milênio assinala o começo do eterno estado da nova Terra. Os acontecimentos mileniais são todos </w:t>
      </w:r>
      <w:r w:rsidRPr="008A57BE">
        <w:rPr>
          <w:rFonts w:ascii="Times New Roman" w:hAnsi="Times New Roman" w:cs="Times New Roman"/>
          <w:color w:val="C00000"/>
          <w:sz w:val="24"/>
          <w:szCs w:val="24"/>
        </w:rPr>
        <w:t>produto</w:t>
      </w:r>
      <w:r w:rsidR="008A57BE" w:rsidRPr="008A57BE">
        <w:rPr>
          <w:rFonts w:ascii="Times New Roman" w:hAnsi="Times New Roman" w:cs="Times New Roman"/>
          <w:color w:val="C00000"/>
          <w:sz w:val="24"/>
          <w:szCs w:val="24"/>
        </w:rPr>
        <w:t>s</w:t>
      </w:r>
      <w:r w:rsidRPr="008A57BE">
        <w:rPr>
          <w:rFonts w:ascii="Times New Roman" w:hAnsi="Times New Roman" w:cs="Times New Roman"/>
          <w:color w:val="C00000"/>
          <w:sz w:val="24"/>
          <w:szCs w:val="24"/>
        </w:rPr>
        <w:t xml:space="preserve"> </w:t>
      </w:r>
      <w:r w:rsidRPr="00AB5095">
        <w:rPr>
          <w:rFonts w:ascii="Times New Roman" w:hAnsi="Times New Roman" w:cs="Times New Roman"/>
          <w:sz w:val="24"/>
          <w:szCs w:val="24"/>
        </w:rPr>
        <w:t>da sabedoria divina, da divina graça, do poder e intervenção divinos. Desta maneira, e nesse tempo, entendemos que os remidos de todas as nações entrarão de posse do prometido reino eterno de glória, que por tanto tempo aguardaram (</w:t>
      </w:r>
      <w:proofErr w:type="spellStart"/>
      <w:r w:rsidRPr="00AB5095">
        <w:rPr>
          <w:rFonts w:ascii="Times New Roman" w:hAnsi="Times New Roman" w:cs="Times New Roman"/>
          <w:sz w:val="24"/>
          <w:szCs w:val="24"/>
        </w:rPr>
        <w:t>Dn</w:t>
      </w:r>
      <w:proofErr w:type="spellEnd"/>
      <w:r w:rsidRPr="00AB5095">
        <w:rPr>
          <w:rFonts w:ascii="Times New Roman" w:hAnsi="Times New Roman" w:cs="Times New Roman"/>
          <w:sz w:val="24"/>
          <w:szCs w:val="24"/>
        </w:rPr>
        <w:t xml:space="preserve"> 7:18; </w:t>
      </w:r>
      <w:proofErr w:type="spellStart"/>
      <w:r w:rsidRPr="00AB5095">
        <w:rPr>
          <w:rFonts w:ascii="Times New Roman" w:hAnsi="Times New Roman" w:cs="Times New Roman"/>
          <w:sz w:val="24"/>
          <w:szCs w:val="24"/>
        </w:rPr>
        <w:t>Ap</w:t>
      </w:r>
      <w:proofErr w:type="spellEnd"/>
      <w:r w:rsidRPr="00AB5095">
        <w:rPr>
          <w:rFonts w:ascii="Times New Roman" w:hAnsi="Times New Roman" w:cs="Times New Roman"/>
          <w:sz w:val="24"/>
          <w:szCs w:val="24"/>
        </w:rPr>
        <w:t xml:space="preserve"> 22:5). Ellen </w:t>
      </w:r>
      <w:proofErr w:type="spellStart"/>
      <w:proofErr w:type="gramStart"/>
      <w:r w:rsidRPr="00AB5095">
        <w:rPr>
          <w:rFonts w:ascii="Times New Roman" w:hAnsi="Times New Roman" w:cs="Times New Roman"/>
          <w:sz w:val="24"/>
          <w:szCs w:val="24"/>
        </w:rPr>
        <w:t>G.White</w:t>
      </w:r>
      <w:proofErr w:type="spellEnd"/>
      <w:proofErr w:type="gramEnd"/>
      <w:r w:rsidRPr="00AB5095">
        <w:rPr>
          <w:rFonts w:ascii="Times New Roman" w:hAnsi="Times New Roman" w:cs="Times New Roman"/>
          <w:sz w:val="24"/>
          <w:szCs w:val="24"/>
        </w:rPr>
        <w:t xml:space="preserve"> expressa magistralmente nossa convicção</w:t>
      </w:r>
      <w:r w:rsidRPr="00D6717A">
        <w:rPr>
          <w:rFonts w:ascii="Times New Roman" w:hAnsi="Times New Roman" w:cs="Times New Roman"/>
          <w:color w:val="FF0000"/>
          <w:sz w:val="24"/>
          <w:szCs w:val="24"/>
        </w:rPr>
        <w:t>:</w:t>
      </w:r>
      <w:r w:rsidR="00D6717A" w:rsidRPr="00D6717A">
        <w:rPr>
          <w:rFonts w:ascii="Times New Roman" w:hAnsi="Times New Roman" w:cs="Times New Roman"/>
          <w:color w:val="FF0000"/>
          <w:sz w:val="24"/>
          <w:szCs w:val="24"/>
        </w:rPr>
        <w:t xml:space="preserve"> [23]</w:t>
      </w:r>
      <w:r w:rsidR="00027E36">
        <w:rPr>
          <w:rFonts w:ascii="Times New Roman" w:hAnsi="Times New Roman" w:cs="Times New Roman"/>
          <w:color w:val="FF0000"/>
          <w:sz w:val="24"/>
          <w:szCs w:val="24"/>
        </w:rPr>
        <w:t xml:space="preserve"> </w:t>
      </w:r>
    </w:p>
    <w:p w14:paraId="75DA570B" w14:textId="1D081A1E" w:rsidR="008C1971" w:rsidRDefault="00AB5095" w:rsidP="00741FD9">
      <w:pPr>
        <w:spacing w:after="0" w:line="240" w:lineRule="auto"/>
        <w:ind w:left="-567" w:right="-568"/>
        <w:jc w:val="both"/>
        <w:rPr>
          <w:rFonts w:ascii="Times New Roman" w:hAnsi="Times New Roman" w:cs="Times New Roman"/>
          <w:i/>
          <w:iCs/>
          <w:color w:val="FF0000"/>
          <w:sz w:val="24"/>
          <w:szCs w:val="24"/>
        </w:rPr>
      </w:pPr>
      <w:r w:rsidRPr="00AB5095">
        <w:rPr>
          <w:rFonts w:ascii="Times New Roman" w:hAnsi="Times New Roman" w:cs="Times New Roman"/>
          <w:i/>
          <w:iCs/>
          <w:sz w:val="24"/>
          <w:szCs w:val="24"/>
        </w:rPr>
        <w:t xml:space="preserve">"O grande conflito terminou. Pecado e pecadores não mais existem. O Universo inteiro está purificado. Uma única palpitação de harmonioso júbilo vibra por toda a vasta criação. </w:t>
      </w:r>
      <w:proofErr w:type="spellStart"/>
      <w:r w:rsidRPr="00AB5095">
        <w:rPr>
          <w:rFonts w:ascii="Times New Roman" w:hAnsi="Times New Roman" w:cs="Times New Roman"/>
          <w:i/>
          <w:iCs/>
          <w:sz w:val="24"/>
          <w:szCs w:val="24"/>
        </w:rPr>
        <w:t>DAquele</w:t>
      </w:r>
      <w:proofErr w:type="spellEnd"/>
      <w:r w:rsidRPr="00AB5095">
        <w:rPr>
          <w:rFonts w:ascii="Times New Roman" w:hAnsi="Times New Roman" w:cs="Times New Roman"/>
          <w:i/>
          <w:iCs/>
          <w:sz w:val="24"/>
          <w:szCs w:val="24"/>
        </w:rPr>
        <w:t xml:space="preserve"> que tudo criou emanam vida, luz e alegria por todos os domínios do espaço infinito. Desde o minúsculo átomo até ao maior dos mundos, todas as coisas, animadas e inanimadas, em sua serena beleza e perfeito gozo, declaram que Deus é amor."</w:t>
      </w:r>
      <w:r w:rsidR="00D6717A">
        <w:rPr>
          <w:rFonts w:ascii="Times New Roman" w:hAnsi="Times New Roman" w:cs="Times New Roman"/>
          <w:i/>
          <w:iCs/>
          <w:sz w:val="24"/>
          <w:szCs w:val="24"/>
        </w:rPr>
        <w:t xml:space="preserve"> </w:t>
      </w:r>
      <w:r w:rsidR="00D6717A" w:rsidRPr="00D6717A">
        <w:rPr>
          <w:rFonts w:ascii="Times New Roman" w:hAnsi="Times New Roman" w:cs="Times New Roman"/>
          <w:i/>
          <w:iCs/>
          <w:color w:val="FF0000"/>
          <w:sz w:val="24"/>
          <w:szCs w:val="24"/>
        </w:rPr>
        <w:t xml:space="preserve">[24] </w:t>
      </w:r>
    </w:p>
    <w:p w14:paraId="5ADEBEAC" w14:textId="77777777" w:rsidR="009E5CAD" w:rsidRDefault="009E5CAD" w:rsidP="00741FD9">
      <w:pPr>
        <w:spacing w:after="0" w:line="240" w:lineRule="auto"/>
        <w:ind w:left="-567" w:right="-568"/>
        <w:jc w:val="both"/>
        <w:rPr>
          <w:rFonts w:ascii="Times New Roman" w:hAnsi="Times New Roman" w:cs="Times New Roman"/>
          <w:i/>
          <w:iCs/>
          <w:sz w:val="24"/>
          <w:szCs w:val="24"/>
        </w:rPr>
      </w:pPr>
    </w:p>
    <w:p w14:paraId="51F204EF" w14:textId="4BEDD9B0" w:rsidR="00CB1529" w:rsidRPr="008A72D1" w:rsidRDefault="00CB1529" w:rsidP="00741FD9">
      <w:pPr>
        <w:spacing w:after="0" w:line="240" w:lineRule="auto"/>
        <w:ind w:left="-567" w:right="-568"/>
        <w:jc w:val="both"/>
        <w:rPr>
          <w:rFonts w:ascii="Times New Roman" w:hAnsi="Times New Roman" w:cs="Times New Roman"/>
          <w:b/>
          <w:bCs/>
        </w:rPr>
      </w:pPr>
      <w:r w:rsidRPr="008A72D1">
        <w:rPr>
          <w:rFonts w:ascii="Times New Roman" w:hAnsi="Times New Roman" w:cs="Times New Roman"/>
          <w:b/>
          <w:bCs/>
        </w:rPr>
        <w:t xml:space="preserve">Referencias </w:t>
      </w:r>
    </w:p>
    <w:p w14:paraId="06EFE982" w14:textId="364995D2" w:rsidR="00CB1529" w:rsidRPr="008A72D1" w:rsidRDefault="00CB1529" w:rsidP="00741FD9">
      <w:pPr>
        <w:autoSpaceDE w:val="0"/>
        <w:autoSpaceDN w:val="0"/>
        <w:adjustRightInd w:val="0"/>
        <w:spacing w:after="0" w:line="240" w:lineRule="auto"/>
        <w:ind w:left="-567" w:right="-568"/>
        <w:jc w:val="both"/>
        <w:rPr>
          <w:rFonts w:ascii="Times New Roman" w:hAnsi="Times New Roman" w:cs="Times New Roman"/>
          <w:i/>
          <w:iCs/>
          <w:lang w:val="en-US"/>
        </w:rPr>
      </w:pPr>
      <w:r w:rsidRPr="008A72D1">
        <w:rPr>
          <w:rFonts w:ascii="Times New Roman" w:hAnsi="Times New Roman" w:cs="Times New Roman"/>
          <w:i/>
          <w:iCs/>
        </w:rPr>
        <w:t xml:space="preserve">1 </w:t>
      </w:r>
      <w:r w:rsidRPr="008A72D1">
        <w:rPr>
          <w:rFonts w:ascii="Times New Roman" w:hAnsi="Times New Roman" w:cs="Times New Roman"/>
          <w:i/>
          <w:iCs/>
          <w:lang w:val="en-US"/>
        </w:rPr>
        <w:t xml:space="preserve">The Millennium,” </w:t>
      </w:r>
      <w:proofErr w:type="spellStart"/>
      <w:r w:rsidRPr="008A72D1">
        <w:rPr>
          <w:rFonts w:ascii="Times New Roman" w:hAnsi="Times New Roman" w:cs="Times New Roman"/>
          <w:i/>
          <w:iCs/>
          <w:lang w:val="en-US"/>
        </w:rPr>
        <w:t>em</w:t>
      </w:r>
      <w:proofErr w:type="spellEnd"/>
      <w:r w:rsidRPr="008A72D1">
        <w:rPr>
          <w:rFonts w:ascii="Times New Roman" w:hAnsi="Times New Roman" w:cs="Times New Roman"/>
          <w:i/>
          <w:iCs/>
          <w:lang w:val="en-US"/>
        </w:rPr>
        <w:t xml:space="preserve"> Handbook of Seventh-day Adventist Theology, e. Raoul </w:t>
      </w:r>
      <w:proofErr w:type="spellStart"/>
      <w:r w:rsidRPr="008A72D1">
        <w:rPr>
          <w:rFonts w:ascii="Times New Roman" w:hAnsi="Times New Roman" w:cs="Times New Roman"/>
          <w:i/>
          <w:iCs/>
          <w:lang w:val="en-US"/>
        </w:rPr>
        <w:t>Dederen</w:t>
      </w:r>
      <w:proofErr w:type="spellEnd"/>
      <w:r w:rsidRPr="008A72D1">
        <w:rPr>
          <w:rFonts w:ascii="Times New Roman" w:hAnsi="Times New Roman" w:cs="Times New Roman"/>
          <w:i/>
          <w:iCs/>
          <w:lang w:val="en-US"/>
        </w:rPr>
        <w:t xml:space="preserve"> (Hagerstown, MD: Review and Herald, 2000), pp. 927–946</w:t>
      </w:r>
      <w:r w:rsidR="00FE53EC" w:rsidRPr="008A72D1">
        <w:rPr>
          <w:rFonts w:ascii="Times New Roman" w:hAnsi="Times New Roman" w:cs="Times New Roman"/>
          <w:i/>
          <w:iCs/>
          <w:lang w:val="en-US"/>
        </w:rPr>
        <w:t>.</w:t>
      </w:r>
    </w:p>
    <w:p w14:paraId="5B445A23" w14:textId="77777777" w:rsidR="002021C2" w:rsidRPr="008A72D1" w:rsidRDefault="00FE53EC"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val="en-US" w:eastAsia="pt-BR"/>
        </w:rPr>
      </w:pPr>
      <w:r w:rsidRPr="008A72D1">
        <w:rPr>
          <w:rFonts w:ascii="Times New Roman" w:eastAsia="Times New Roman" w:hAnsi="Times New Roman" w:cs="Times New Roman"/>
          <w:i/>
          <w:iCs/>
          <w:bdr w:val="none" w:sz="0" w:space="0" w:color="auto" w:frame="1"/>
          <w:lang w:eastAsia="pt-BR"/>
        </w:rPr>
        <w:t xml:space="preserve">2 </w:t>
      </w:r>
      <w:r w:rsidRPr="008A72D1">
        <w:rPr>
          <w:rFonts w:ascii="Times New Roman" w:eastAsia="Times New Roman" w:hAnsi="Times New Roman" w:cs="Times New Roman"/>
          <w:i/>
          <w:iCs/>
          <w:bdr w:val="none" w:sz="0" w:space="0" w:color="auto" w:frame="1"/>
          <w:lang w:val="en-US" w:eastAsia="pt-BR"/>
        </w:rPr>
        <w:t>A Study of the Millennium (Grand Rapids, MI: Baker, 1977), pp. 95–96.</w:t>
      </w:r>
      <w:r w:rsidR="002021C2" w:rsidRPr="008A72D1">
        <w:rPr>
          <w:rFonts w:ascii="Times New Roman" w:eastAsia="Times New Roman" w:hAnsi="Times New Roman" w:cs="Times New Roman"/>
          <w:i/>
          <w:iCs/>
          <w:bdr w:val="none" w:sz="0" w:space="0" w:color="auto" w:frame="1"/>
          <w:lang w:val="en-US" w:eastAsia="pt-BR"/>
        </w:rPr>
        <w:t xml:space="preserve"> </w:t>
      </w:r>
    </w:p>
    <w:p w14:paraId="7BBB9E65" w14:textId="7930AC06" w:rsidR="002021C2" w:rsidRPr="008A72D1" w:rsidRDefault="00400C82"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3</w:t>
      </w:r>
      <w:r w:rsidR="0074259F" w:rsidRPr="008A72D1">
        <w:rPr>
          <w:rFonts w:ascii="Times New Roman" w:eastAsia="Times New Roman" w:hAnsi="Times New Roman" w:cs="Times New Roman"/>
          <w:i/>
          <w:iCs/>
          <w:bdr w:val="none" w:sz="0" w:space="0" w:color="auto" w:frame="1"/>
          <w:lang w:eastAsia="pt-BR"/>
        </w:rPr>
        <w:t>, 4,</w:t>
      </w:r>
      <w:r w:rsidR="00A63512" w:rsidRPr="008A72D1">
        <w:rPr>
          <w:rFonts w:ascii="Times New Roman" w:eastAsia="Times New Roman" w:hAnsi="Times New Roman" w:cs="Times New Roman"/>
          <w:i/>
          <w:iCs/>
          <w:bdr w:val="none" w:sz="0" w:space="0" w:color="auto" w:frame="1"/>
          <w:lang w:eastAsia="pt-BR"/>
        </w:rPr>
        <w:t xml:space="preserve"> 5, 6.</w:t>
      </w:r>
      <w:r w:rsidR="0074259F" w:rsidRPr="008A72D1">
        <w:rPr>
          <w:rFonts w:ascii="Times New Roman" w:eastAsia="Times New Roman" w:hAnsi="Times New Roman" w:cs="Times New Roman"/>
          <w:i/>
          <w:iCs/>
          <w:bdr w:val="none" w:sz="0" w:space="0" w:color="auto" w:frame="1"/>
          <w:lang w:eastAsia="pt-BR"/>
        </w:rPr>
        <w:t xml:space="preserve"> </w:t>
      </w:r>
      <w:r w:rsidRPr="008A72D1">
        <w:rPr>
          <w:rFonts w:ascii="Times New Roman" w:eastAsia="Times New Roman" w:hAnsi="Times New Roman" w:cs="Times New Roman"/>
          <w:i/>
          <w:iCs/>
          <w:bdr w:val="none" w:sz="0" w:space="0" w:color="auto" w:frame="1"/>
          <w:lang w:eastAsia="pt-BR"/>
        </w:rPr>
        <w:t xml:space="preserve"> Questões sobre Doutrina 480</w:t>
      </w:r>
    </w:p>
    <w:p w14:paraId="58087B12" w14:textId="28A7C6D6" w:rsidR="0078587F" w:rsidRPr="008A72D1" w:rsidRDefault="00243D46"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proofErr w:type="gramStart"/>
      <w:r w:rsidRPr="008A72D1">
        <w:rPr>
          <w:rFonts w:ascii="Times New Roman" w:eastAsia="Times New Roman" w:hAnsi="Times New Roman" w:cs="Times New Roman"/>
          <w:i/>
          <w:iCs/>
          <w:bdr w:val="none" w:sz="0" w:space="0" w:color="auto" w:frame="1"/>
          <w:lang w:eastAsia="pt-BR"/>
        </w:rPr>
        <w:t>7,</w:t>
      </w:r>
      <w:r w:rsidR="0078587F" w:rsidRPr="008A72D1">
        <w:rPr>
          <w:rFonts w:ascii="Times New Roman" w:eastAsia="Times New Roman" w:hAnsi="Times New Roman" w:cs="Times New Roman"/>
          <w:i/>
          <w:iCs/>
          <w:bdr w:val="none" w:sz="0" w:space="0" w:color="auto" w:frame="1"/>
          <w:lang w:eastAsia="pt-BR"/>
        </w:rPr>
        <w:t>  </w:t>
      </w:r>
      <w:r w:rsidRPr="008A72D1">
        <w:rPr>
          <w:rFonts w:ascii="Times New Roman" w:eastAsia="Times New Roman" w:hAnsi="Times New Roman" w:cs="Times New Roman"/>
          <w:i/>
          <w:iCs/>
          <w:bdr w:val="none" w:sz="0" w:space="0" w:color="auto" w:frame="1"/>
          <w:lang w:eastAsia="pt-BR"/>
        </w:rPr>
        <w:t>8</w:t>
      </w:r>
      <w:proofErr w:type="gramEnd"/>
      <w:r w:rsidRPr="008A72D1">
        <w:rPr>
          <w:rFonts w:ascii="Times New Roman" w:eastAsia="Times New Roman" w:hAnsi="Times New Roman" w:cs="Times New Roman"/>
          <w:i/>
          <w:iCs/>
          <w:bdr w:val="none" w:sz="0" w:space="0" w:color="auto" w:frame="1"/>
          <w:lang w:eastAsia="pt-BR"/>
        </w:rPr>
        <w:t xml:space="preserve">, </w:t>
      </w:r>
      <w:r w:rsidR="0078587F" w:rsidRPr="008A72D1">
        <w:rPr>
          <w:rFonts w:ascii="Times New Roman" w:eastAsia="Times New Roman" w:hAnsi="Times New Roman" w:cs="Times New Roman"/>
          <w:i/>
          <w:iCs/>
          <w:bdr w:val="none" w:sz="0" w:space="0" w:color="auto" w:frame="1"/>
          <w:lang w:eastAsia="pt-BR"/>
        </w:rPr>
        <w:t xml:space="preserve">Segundo William J. </w:t>
      </w:r>
      <w:proofErr w:type="spellStart"/>
      <w:r w:rsidR="0078587F" w:rsidRPr="008A72D1">
        <w:rPr>
          <w:rFonts w:ascii="Times New Roman" w:eastAsia="Times New Roman" w:hAnsi="Times New Roman" w:cs="Times New Roman"/>
          <w:i/>
          <w:iCs/>
          <w:bdr w:val="none" w:sz="0" w:space="0" w:color="auto" w:frame="1"/>
          <w:lang w:eastAsia="pt-BR"/>
        </w:rPr>
        <w:t>Grier</w:t>
      </w:r>
      <w:proofErr w:type="spellEnd"/>
      <w:r w:rsidR="0078587F" w:rsidRPr="008A72D1">
        <w:rPr>
          <w:rFonts w:ascii="Times New Roman" w:eastAsia="Times New Roman" w:hAnsi="Times New Roman" w:cs="Times New Roman"/>
          <w:i/>
          <w:iCs/>
          <w:bdr w:val="none" w:sz="0" w:space="0" w:color="auto" w:frame="1"/>
          <w:lang w:eastAsia="pt-BR"/>
        </w:rPr>
        <w:t xml:space="preserve">, Charles </w:t>
      </w:r>
      <w:proofErr w:type="spellStart"/>
      <w:r w:rsidR="0078587F" w:rsidRPr="008A72D1">
        <w:rPr>
          <w:rFonts w:ascii="Times New Roman" w:eastAsia="Times New Roman" w:hAnsi="Times New Roman" w:cs="Times New Roman"/>
          <w:i/>
          <w:iCs/>
          <w:bdr w:val="none" w:sz="0" w:space="0" w:color="auto" w:frame="1"/>
          <w:lang w:eastAsia="pt-BR"/>
        </w:rPr>
        <w:t>Feinbeger</w:t>
      </w:r>
      <w:proofErr w:type="spellEnd"/>
      <w:r w:rsidR="0078587F" w:rsidRPr="008A72D1">
        <w:rPr>
          <w:rFonts w:ascii="Times New Roman" w:eastAsia="Times New Roman" w:hAnsi="Times New Roman" w:cs="Times New Roman"/>
          <w:i/>
          <w:iCs/>
          <w:bdr w:val="none" w:sz="0" w:space="0" w:color="auto" w:frame="1"/>
          <w:lang w:eastAsia="pt-BR"/>
        </w:rPr>
        <w:t xml:space="preserve"> também afirmava isso. Cf. GRIER, William J. Os pais e o milênio. [Artigo</w:t>
      </w:r>
      <w:proofErr w:type="gramStart"/>
      <w:r w:rsidR="0078587F" w:rsidRPr="008A72D1">
        <w:rPr>
          <w:rFonts w:ascii="Times New Roman" w:eastAsia="Times New Roman" w:hAnsi="Times New Roman" w:cs="Times New Roman"/>
          <w:i/>
          <w:iCs/>
          <w:bdr w:val="none" w:sz="0" w:space="0" w:color="auto" w:frame="1"/>
          <w:lang w:eastAsia="pt-BR"/>
        </w:rPr>
        <w:t>] Disponível</w:t>
      </w:r>
      <w:proofErr w:type="gramEnd"/>
      <w:r w:rsidR="0078587F" w:rsidRPr="008A72D1">
        <w:rPr>
          <w:rFonts w:ascii="Times New Roman" w:eastAsia="Times New Roman" w:hAnsi="Times New Roman" w:cs="Times New Roman"/>
          <w:i/>
          <w:iCs/>
          <w:bdr w:val="none" w:sz="0" w:space="0" w:color="auto" w:frame="1"/>
          <w:lang w:eastAsia="pt-BR"/>
        </w:rPr>
        <w:t xml:space="preserve"> em </w:t>
      </w:r>
      <w:hyperlink r:id="rId12" w:history="1">
        <w:r w:rsidR="0078587F" w:rsidRPr="008A72D1">
          <w:rPr>
            <w:rStyle w:val="Hyperlink"/>
            <w:rFonts w:ascii="Times New Roman" w:eastAsia="Times New Roman" w:hAnsi="Times New Roman" w:cs="Times New Roman"/>
            <w:i/>
            <w:iCs/>
            <w:color w:val="auto"/>
            <w:u w:val="none"/>
            <w:bdr w:val="none" w:sz="0" w:space="0" w:color="auto" w:frame="1"/>
            <w:lang w:eastAsia="pt-BR"/>
          </w:rPr>
          <w:t>http://www.amilenismo.com/2010/07/capitulo-iii-os-pais-e-o-milenio.html.</w:t>
        </w:r>
      </w:hyperlink>
      <w:r w:rsidR="0078587F" w:rsidRPr="008A72D1">
        <w:rPr>
          <w:rFonts w:ascii="Times New Roman" w:eastAsia="Times New Roman" w:hAnsi="Times New Roman" w:cs="Times New Roman"/>
          <w:i/>
          <w:iCs/>
          <w:bdr w:val="none" w:sz="0" w:space="0" w:color="auto" w:frame="1"/>
          <w:lang w:eastAsia="pt-BR"/>
        </w:rPr>
        <w:t xml:space="preserve">  </w:t>
      </w:r>
    </w:p>
    <w:p w14:paraId="46654A46" w14:textId="633EB48B" w:rsidR="00243D46" w:rsidRPr="008A72D1" w:rsidRDefault="00243D46"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9. </w:t>
      </w:r>
      <w:r w:rsidR="00FD1B7F" w:rsidRPr="008A72D1">
        <w:rPr>
          <w:rFonts w:ascii="Times New Roman" w:eastAsia="Times New Roman" w:hAnsi="Times New Roman" w:cs="Times New Roman"/>
          <w:i/>
          <w:iCs/>
          <w:bdr w:val="none" w:sz="0" w:space="0" w:color="auto" w:frame="1"/>
          <w:lang w:eastAsia="pt-BR"/>
        </w:rPr>
        <w:t xml:space="preserve"> </w:t>
      </w:r>
      <w:r w:rsidRPr="008A72D1">
        <w:rPr>
          <w:rFonts w:ascii="Times New Roman" w:eastAsia="Times New Roman" w:hAnsi="Times New Roman" w:cs="Times New Roman"/>
          <w:i/>
          <w:iCs/>
          <w:bdr w:val="none" w:sz="0" w:space="0" w:color="auto" w:frame="1"/>
          <w:lang w:eastAsia="pt-BR"/>
        </w:rPr>
        <w:t>Questões sobre Doutrina 482 -483</w:t>
      </w:r>
    </w:p>
    <w:p w14:paraId="36A00F3E" w14:textId="2DDCE7EE" w:rsidR="00DE6C1B" w:rsidRPr="008A72D1" w:rsidRDefault="00DE6C1B"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10. Questões sobre Doutrina 483 – 484</w:t>
      </w:r>
    </w:p>
    <w:p w14:paraId="4C835000" w14:textId="31401C62" w:rsidR="008C1971" w:rsidRPr="008A72D1" w:rsidRDefault="008C1971"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11. Questões sobre Doutrina 485</w:t>
      </w:r>
    </w:p>
    <w:p w14:paraId="7B85815A" w14:textId="1903478F" w:rsidR="00992AC2" w:rsidRPr="008A72D1" w:rsidRDefault="00992AC2"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12. Questões sobre Doutrina 486 – 487</w:t>
      </w:r>
    </w:p>
    <w:p w14:paraId="03134423" w14:textId="77777777" w:rsidR="00525DBD" w:rsidRPr="008A72D1" w:rsidRDefault="00525DBD"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lastRenderedPageBreak/>
        <w:t>13. Questões sobre Doutrina 487</w:t>
      </w:r>
    </w:p>
    <w:p w14:paraId="038DAC9A" w14:textId="77A13386" w:rsidR="00992AC2" w:rsidRPr="008A72D1" w:rsidRDefault="00FD1B7F"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14. </w:t>
      </w:r>
      <w:bookmarkStart w:id="5" w:name="_Hlk80613085"/>
      <w:r w:rsidRPr="008A72D1">
        <w:rPr>
          <w:rFonts w:ascii="Times New Roman" w:eastAsia="Times New Roman" w:hAnsi="Times New Roman" w:cs="Times New Roman"/>
          <w:i/>
          <w:iCs/>
          <w:bdr w:val="none" w:sz="0" w:space="0" w:color="auto" w:frame="1"/>
          <w:lang w:eastAsia="pt-BR"/>
        </w:rPr>
        <w:t>Questões sobre Doutrina 48</w:t>
      </w:r>
      <w:bookmarkEnd w:id="5"/>
      <w:r w:rsidRPr="008A72D1">
        <w:rPr>
          <w:rFonts w:ascii="Times New Roman" w:eastAsia="Times New Roman" w:hAnsi="Times New Roman" w:cs="Times New Roman"/>
          <w:i/>
          <w:iCs/>
          <w:bdr w:val="none" w:sz="0" w:space="0" w:color="auto" w:frame="1"/>
          <w:lang w:eastAsia="pt-BR"/>
        </w:rPr>
        <w:t>8- 489</w:t>
      </w:r>
    </w:p>
    <w:p w14:paraId="23D0AB60" w14:textId="77777777" w:rsidR="00BC37E1" w:rsidRPr="008A72D1" w:rsidRDefault="00BC37E1"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15. Questões sobre Doutrina 489</w:t>
      </w:r>
    </w:p>
    <w:p w14:paraId="4F328D58" w14:textId="77777777" w:rsidR="00D101A0" w:rsidRPr="008A72D1" w:rsidRDefault="00D101A0"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bookmarkStart w:id="6" w:name="_Hlk80615427"/>
      <w:r w:rsidRPr="008A72D1">
        <w:rPr>
          <w:rFonts w:ascii="Times New Roman" w:eastAsia="Times New Roman" w:hAnsi="Times New Roman" w:cs="Times New Roman"/>
          <w:i/>
          <w:iCs/>
          <w:bdr w:val="none" w:sz="0" w:space="0" w:color="auto" w:frame="1"/>
          <w:lang w:eastAsia="pt-BR"/>
        </w:rPr>
        <w:t>16. Questões sobre Doutrina 489 – 490</w:t>
      </w:r>
    </w:p>
    <w:bookmarkEnd w:id="6"/>
    <w:p w14:paraId="341CA10F" w14:textId="77777777" w:rsidR="00E4693A" w:rsidRPr="008A72D1" w:rsidRDefault="00E4693A" w:rsidP="00741FD9">
      <w:pPr>
        <w:shd w:val="clear" w:color="auto" w:fill="FFFFFF"/>
        <w:spacing w:after="0" w:line="240" w:lineRule="auto"/>
        <w:ind w:left="-567" w:right="-568"/>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17. Para um estudo sobre o historicismo e o futurismo, ler o artigo “História da Interpretação                </w:t>
      </w:r>
    </w:p>
    <w:p w14:paraId="08379EB3" w14:textId="77777777" w:rsidR="00E4693A" w:rsidRPr="008A72D1" w:rsidRDefault="00E4693A" w:rsidP="00741FD9">
      <w:pPr>
        <w:shd w:val="clear" w:color="auto" w:fill="FFFFFF"/>
        <w:spacing w:after="0" w:line="240" w:lineRule="auto"/>
        <w:ind w:left="-567" w:right="-568"/>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de Daniel” em: Francis D. </w:t>
      </w:r>
      <w:proofErr w:type="spellStart"/>
      <w:r w:rsidRPr="008A72D1">
        <w:rPr>
          <w:rFonts w:ascii="Times New Roman" w:eastAsia="Times New Roman" w:hAnsi="Times New Roman" w:cs="Times New Roman"/>
          <w:i/>
          <w:iCs/>
          <w:bdr w:val="none" w:sz="0" w:space="0" w:color="auto" w:frame="1"/>
          <w:lang w:eastAsia="pt-BR"/>
        </w:rPr>
        <w:t>Nichol</w:t>
      </w:r>
      <w:proofErr w:type="spellEnd"/>
      <w:r w:rsidRPr="008A72D1">
        <w:rPr>
          <w:rFonts w:ascii="Times New Roman" w:eastAsia="Times New Roman" w:hAnsi="Times New Roman" w:cs="Times New Roman"/>
          <w:i/>
          <w:iCs/>
          <w:bdr w:val="none" w:sz="0" w:space="0" w:color="auto" w:frame="1"/>
          <w:lang w:eastAsia="pt-BR"/>
        </w:rPr>
        <w:t xml:space="preserve">, ed., Comentário Bíblico Adventista do Sétimo Dia, 1ª ed.       </w:t>
      </w:r>
    </w:p>
    <w:p w14:paraId="5AE39226" w14:textId="54BE21A4" w:rsidR="00E4693A" w:rsidRPr="008A72D1" w:rsidRDefault="00E4693A" w:rsidP="00741FD9">
      <w:pPr>
        <w:shd w:val="clear" w:color="auto" w:fill="FFFFFF"/>
        <w:spacing w:after="0" w:line="240" w:lineRule="auto"/>
        <w:ind w:left="-567" w:right="-568"/>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(Tatuí, SP: Casa Publicadora Brasileira, 2013), vol. 4, 26-66;</w:t>
      </w:r>
    </w:p>
    <w:p w14:paraId="676A9F4F" w14:textId="77777777" w:rsidR="00E4693A" w:rsidRPr="008A72D1" w:rsidRDefault="00E4693A" w:rsidP="00741FD9">
      <w:pPr>
        <w:shd w:val="clear" w:color="auto" w:fill="FFFFFF"/>
        <w:spacing w:after="0" w:line="240" w:lineRule="auto"/>
        <w:ind w:left="-284" w:right="-568"/>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O Cavalo de Troia da contrarreforma: https://noticias.adventistas.org/pt/coluna/wilson-borba/o-cavalo-de-troia-da-contrarreforma</w:t>
      </w:r>
    </w:p>
    <w:p w14:paraId="1011D3CF" w14:textId="77777777" w:rsidR="00E4693A" w:rsidRPr="008A72D1" w:rsidRDefault="00E4693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18. Eric Claude Webster, “O Milênio”, editado por Raoul </w:t>
      </w:r>
      <w:proofErr w:type="spellStart"/>
      <w:r w:rsidRPr="008A72D1">
        <w:rPr>
          <w:rFonts w:ascii="Times New Roman" w:eastAsia="Times New Roman" w:hAnsi="Times New Roman" w:cs="Times New Roman"/>
          <w:i/>
          <w:iCs/>
          <w:bdr w:val="none" w:sz="0" w:space="0" w:color="auto" w:frame="1"/>
          <w:lang w:eastAsia="pt-BR"/>
        </w:rPr>
        <w:t>Dederen</w:t>
      </w:r>
      <w:proofErr w:type="spellEnd"/>
      <w:r w:rsidRPr="008A72D1">
        <w:rPr>
          <w:rFonts w:ascii="Times New Roman" w:eastAsia="Times New Roman" w:hAnsi="Times New Roman" w:cs="Times New Roman"/>
          <w:i/>
          <w:iCs/>
          <w:bdr w:val="none" w:sz="0" w:space="0" w:color="auto" w:frame="1"/>
          <w:lang w:eastAsia="pt-BR"/>
        </w:rPr>
        <w:t xml:space="preserve">, Tratado de Teologia </w:t>
      </w:r>
    </w:p>
    <w:p w14:paraId="006E7BEF" w14:textId="05FD93D6" w:rsidR="00E4693A" w:rsidRPr="008A72D1" w:rsidRDefault="00E4693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Adventista do Sétimo Dia, 1ª ed. (Tatuí, SP: Casa Publicadora Brasileira, 2011), 1039.</w:t>
      </w:r>
    </w:p>
    <w:p w14:paraId="36FC8918" w14:textId="77777777" w:rsidR="00E4693A" w:rsidRPr="008A72D1" w:rsidRDefault="00E4693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19. Dwight K. Nelson, Ninguém Será Deixado Para Trás, 1ª ed. (Tatuí, SP: Casa Publicadora </w:t>
      </w:r>
    </w:p>
    <w:p w14:paraId="4853F5BF" w14:textId="77777777" w:rsidR="00E4693A" w:rsidRPr="008A72D1" w:rsidRDefault="00E4693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Brasileira, 2004). Hans K. </w:t>
      </w:r>
      <w:proofErr w:type="spellStart"/>
      <w:r w:rsidRPr="008A72D1">
        <w:rPr>
          <w:rFonts w:ascii="Times New Roman" w:eastAsia="Times New Roman" w:hAnsi="Times New Roman" w:cs="Times New Roman"/>
          <w:i/>
          <w:iCs/>
          <w:bdr w:val="none" w:sz="0" w:space="0" w:color="auto" w:frame="1"/>
          <w:lang w:eastAsia="pt-BR"/>
        </w:rPr>
        <w:t>LaRondele</w:t>
      </w:r>
      <w:proofErr w:type="spellEnd"/>
      <w:r w:rsidRPr="008A72D1">
        <w:rPr>
          <w:rFonts w:ascii="Times New Roman" w:eastAsia="Times New Roman" w:hAnsi="Times New Roman" w:cs="Times New Roman"/>
          <w:i/>
          <w:iCs/>
          <w:bdr w:val="none" w:sz="0" w:space="0" w:color="auto" w:frame="1"/>
          <w:lang w:eastAsia="pt-BR"/>
        </w:rPr>
        <w:t xml:space="preserve">, O Israel de Deus na Profecia, 1ª ed. (Engenheiro </w:t>
      </w:r>
    </w:p>
    <w:p w14:paraId="5EB31596" w14:textId="77777777" w:rsidR="00E4693A" w:rsidRPr="008A72D1" w:rsidRDefault="00E4693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Coelho, SP: Imprensa Universitária Adventista, 2002); Tratado de Teologia Adventista do </w:t>
      </w:r>
    </w:p>
    <w:p w14:paraId="29953852" w14:textId="27E39522" w:rsidR="00E4693A" w:rsidRPr="008A72D1" w:rsidRDefault="00E4693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Sétimo Dia, 1038-1045.</w:t>
      </w:r>
    </w:p>
    <w:p w14:paraId="4A18D820" w14:textId="77777777" w:rsidR="00A7033F" w:rsidRPr="008A72D1" w:rsidRDefault="00A7033F"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20. Textos citados da Crença Fundamental nº 25: “A Segunda Vinda de Cristo”. Manual da </w:t>
      </w:r>
    </w:p>
    <w:p w14:paraId="6B4A2011" w14:textId="63029472" w:rsidR="00A7033F" w:rsidRPr="008A72D1" w:rsidRDefault="00A7033F"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     Igreja, 22ª ed. (Tatuí, SP: Casa Publicadora Brasileira, 2016), 176.</w:t>
      </w:r>
    </w:p>
    <w:p w14:paraId="7142BF33" w14:textId="0D93A641" w:rsidR="008A011D" w:rsidRPr="008A72D1" w:rsidRDefault="008A011D"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21. Holbrook, 298. (Frank B. Holbrook)</w:t>
      </w:r>
    </w:p>
    <w:p w14:paraId="2304E5D4" w14:textId="1035DC71" w:rsidR="00526D34" w:rsidRPr="008A72D1" w:rsidRDefault="00526D34"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22. Questões sobre Doutrina 500</w:t>
      </w:r>
    </w:p>
    <w:p w14:paraId="40B8EF61" w14:textId="4AAAD0B0" w:rsidR="00027E36" w:rsidRPr="008A72D1" w:rsidRDefault="00D6717A"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23. </w:t>
      </w:r>
      <w:r w:rsidR="00027E36" w:rsidRPr="008A72D1">
        <w:rPr>
          <w:rFonts w:ascii="Times New Roman" w:eastAsia="Times New Roman" w:hAnsi="Times New Roman" w:cs="Times New Roman"/>
          <w:i/>
          <w:iCs/>
          <w:bdr w:val="none" w:sz="0" w:space="0" w:color="auto" w:frame="1"/>
          <w:lang w:eastAsia="pt-BR"/>
        </w:rPr>
        <w:t>Questões sobre doutrina</w:t>
      </w:r>
      <w:r w:rsidR="005F2333" w:rsidRPr="008A72D1">
        <w:rPr>
          <w:rFonts w:ascii="Times New Roman" w:eastAsia="Times New Roman" w:hAnsi="Times New Roman" w:cs="Times New Roman"/>
          <w:i/>
          <w:iCs/>
          <w:bdr w:val="none" w:sz="0" w:space="0" w:color="auto" w:frame="1"/>
          <w:lang w:eastAsia="pt-BR"/>
        </w:rPr>
        <w:t xml:space="preserve"> </w:t>
      </w:r>
      <w:r w:rsidR="00027E36" w:rsidRPr="00027E36">
        <w:rPr>
          <w:rFonts w:ascii="Times New Roman" w:eastAsia="Times New Roman" w:hAnsi="Times New Roman" w:cs="Times New Roman"/>
          <w:i/>
          <w:iCs/>
          <w:bdr w:val="none" w:sz="0" w:space="0" w:color="auto" w:frame="1"/>
          <w:lang w:eastAsia="pt-BR"/>
        </w:rPr>
        <w:t>(Capítulo 39)</w:t>
      </w:r>
      <w:r w:rsidR="00027E36" w:rsidRPr="008A72D1">
        <w:rPr>
          <w:rFonts w:ascii="Times New Roman" w:eastAsia="Times New Roman" w:hAnsi="Times New Roman" w:cs="Times New Roman"/>
          <w:i/>
          <w:iCs/>
          <w:bdr w:val="none" w:sz="0" w:space="0" w:color="auto" w:frame="1"/>
          <w:lang w:eastAsia="pt-BR"/>
        </w:rPr>
        <w:t xml:space="preserve"> A Compreensão Adventista do Milênio</w:t>
      </w:r>
      <w:r w:rsidR="005F2333" w:rsidRPr="008A72D1">
        <w:rPr>
          <w:rFonts w:ascii="Times New Roman" w:eastAsia="Times New Roman" w:hAnsi="Times New Roman" w:cs="Times New Roman"/>
          <w:i/>
          <w:iCs/>
          <w:bdr w:val="none" w:sz="0" w:space="0" w:color="auto" w:frame="1"/>
          <w:lang w:eastAsia="pt-BR"/>
        </w:rPr>
        <w:t>,</w:t>
      </w:r>
      <w:r w:rsidR="00027E36" w:rsidRPr="008A72D1">
        <w:rPr>
          <w:rFonts w:ascii="Times New Roman" w:eastAsia="Times New Roman" w:hAnsi="Times New Roman" w:cs="Times New Roman"/>
          <w:i/>
          <w:iCs/>
          <w:bdr w:val="none" w:sz="0" w:space="0" w:color="auto" w:frame="1"/>
          <w:lang w:eastAsia="pt-BR"/>
        </w:rPr>
        <w:t xml:space="preserve"> </w:t>
      </w:r>
      <w:r w:rsidR="005F2333" w:rsidRPr="008A72D1">
        <w:rPr>
          <w:rFonts w:ascii="Times New Roman" w:eastAsia="Times New Roman" w:hAnsi="Times New Roman" w:cs="Times New Roman"/>
          <w:i/>
          <w:iCs/>
          <w:bdr w:val="none" w:sz="0" w:space="0" w:color="auto" w:frame="1"/>
          <w:lang w:eastAsia="pt-BR"/>
        </w:rPr>
        <w:t xml:space="preserve">versão digital, </w:t>
      </w:r>
    </w:p>
    <w:p w14:paraId="76F5B196" w14:textId="7B60B65C" w:rsidR="005F2333" w:rsidRPr="008A72D1" w:rsidRDefault="005F2333" w:rsidP="00741FD9">
      <w:pPr>
        <w:shd w:val="clear" w:color="auto" w:fill="FFFFFF"/>
        <w:spacing w:after="0" w:line="240" w:lineRule="auto"/>
        <w:ind w:left="-567" w:right="-568"/>
        <w:jc w:val="both"/>
        <w:rPr>
          <w:rFonts w:ascii="Times New Roman" w:eastAsia="Times New Roman" w:hAnsi="Times New Roman" w:cs="Times New Roman"/>
          <w:i/>
          <w:iCs/>
          <w:bdr w:val="none" w:sz="0" w:space="0" w:color="auto" w:frame="1"/>
          <w:lang w:eastAsia="pt-BR"/>
        </w:rPr>
      </w:pPr>
      <w:r w:rsidRPr="008A72D1">
        <w:rPr>
          <w:rFonts w:ascii="Times New Roman" w:eastAsia="Times New Roman" w:hAnsi="Times New Roman" w:cs="Times New Roman"/>
          <w:i/>
          <w:iCs/>
          <w:bdr w:val="none" w:sz="0" w:space="0" w:color="auto" w:frame="1"/>
          <w:lang w:eastAsia="pt-BR"/>
        </w:rPr>
        <w:t xml:space="preserve">(Transcrito com cortes e adaptado) </w:t>
      </w:r>
    </w:p>
    <w:p w14:paraId="7461E060" w14:textId="4840EF91" w:rsidR="00D6717A" w:rsidRPr="008A72D1" w:rsidRDefault="00D6717A" w:rsidP="00741FD9">
      <w:pPr>
        <w:spacing w:after="0" w:line="240" w:lineRule="auto"/>
        <w:ind w:left="-567" w:right="-568"/>
        <w:jc w:val="both"/>
        <w:rPr>
          <w:rFonts w:ascii="Times New Roman" w:hAnsi="Times New Roman" w:cs="Times New Roman"/>
          <w:i/>
          <w:iCs/>
        </w:rPr>
      </w:pPr>
      <w:r w:rsidRPr="008A72D1">
        <w:rPr>
          <w:rFonts w:ascii="Times New Roman" w:hAnsi="Times New Roman" w:cs="Times New Roman"/>
          <w:i/>
          <w:iCs/>
        </w:rPr>
        <w:t xml:space="preserve">24.  Ellen G. White O Grande Conflito, p. 678.  </w:t>
      </w:r>
    </w:p>
    <w:p w14:paraId="7E336929" w14:textId="155641C8" w:rsidR="005F2333" w:rsidRPr="008A72D1" w:rsidRDefault="005F2333" w:rsidP="00741FD9">
      <w:pPr>
        <w:spacing w:after="0" w:line="240" w:lineRule="auto"/>
        <w:ind w:left="-567" w:right="-568"/>
        <w:jc w:val="both"/>
        <w:rPr>
          <w:rFonts w:ascii="Times New Roman" w:hAnsi="Times New Roman" w:cs="Times New Roman"/>
          <w:i/>
          <w:iCs/>
        </w:rPr>
      </w:pPr>
    </w:p>
    <w:p w14:paraId="2926611C" w14:textId="17F29287" w:rsidR="005F2333" w:rsidRPr="00DA7079" w:rsidRDefault="005F2333" w:rsidP="00741FD9">
      <w:pPr>
        <w:spacing w:after="0" w:line="240" w:lineRule="auto"/>
        <w:ind w:left="-567" w:right="-568"/>
        <w:jc w:val="both"/>
        <w:rPr>
          <w:rFonts w:ascii="Times New Roman" w:hAnsi="Times New Roman" w:cs="Times New Roman"/>
          <w:i/>
          <w:iCs/>
        </w:rPr>
      </w:pPr>
      <w:r w:rsidRPr="00DA7079">
        <w:rPr>
          <w:rFonts w:ascii="Times New Roman" w:hAnsi="Times New Roman" w:cs="Times New Roman"/>
          <w:i/>
          <w:iCs/>
        </w:rPr>
        <w:t xml:space="preserve">Macapá 23 de agosto 2021 </w:t>
      </w:r>
    </w:p>
    <w:p w14:paraId="334CE810" w14:textId="4DFC1BE1" w:rsidR="005F2333" w:rsidRPr="00DA7079" w:rsidRDefault="005F2333" w:rsidP="00741FD9">
      <w:pPr>
        <w:spacing w:after="0" w:line="240" w:lineRule="auto"/>
        <w:ind w:left="-567" w:right="-568"/>
        <w:jc w:val="both"/>
        <w:rPr>
          <w:rFonts w:ascii="Times New Roman" w:hAnsi="Times New Roman" w:cs="Times New Roman"/>
          <w:i/>
          <w:iCs/>
        </w:rPr>
      </w:pPr>
      <w:r w:rsidRPr="00DA7079">
        <w:rPr>
          <w:rFonts w:ascii="Times New Roman" w:hAnsi="Times New Roman" w:cs="Times New Roman"/>
          <w:i/>
          <w:iCs/>
        </w:rPr>
        <w:t xml:space="preserve">Edimar Bilio Rocha </w:t>
      </w:r>
    </w:p>
    <w:p w14:paraId="5BC66BD1" w14:textId="6FC37F3B" w:rsidR="005F2333" w:rsidRPr="00DA7079" w:rsidRDefault="005F2333" w:rsidP="00741FD9">
      <w:pPr>
        <w:spacing w:after="0" w:line="240" w:lineRule="auto"/>
        <w:ind w:left="-567" w:right="-568"/>
        <w:jc w:val="both"/>
        <w:rPr>
          <w:rFonts w:ascii="Times New Roman" w:hAnsi="Times New Roman" w:cs="Times New Roman"/>
          <w:i/>
          <w:iCs/>
        </w:rPr>
      </w:pPr>
      <w:r w:rsidRPr="00DA7079">
        <w:rPr>
          <w:rFonts w:ascii="Times New Roman" w:hAnsi="Times New Roman" w:cs="Times New Roman"/>
          <w:i/>
          <w:iCs/>
        </w:rPr>
        <w:t>Contato (91) 98210 2002</w:t>
      </w:r>
    </w:p>
    <w:p w14:paraId="39F4F88A" w14:textId="05EF9496" w:rsidR="005F2333" w:rsidRPr="00DA7079" w:rsidRDefault="005F2333" w:rsidP="00741FD9">
      <w:pPr>
        <w:spacing w:after="0" w:line="240" w:lineRule="auto"/>
        <w:ind w:left="-567" w:right="-568"/>
        <w:jc w:val="both"/>
        <w:rPr>
          <w:rFonts w:ascii="Times New Roman" w:hAnsi="Times New Roman" w:cs="Times New Roman"/>
          <w:i/>
          <w:iCs/>
        </w:rPr>
      </w:pPr>
    </w:p>
    <w:p w14:paraId="5323F8C9" w14:textId="17D2604F" w:rsidR="005F2333" w:rsidRPr="00DA7079" w:rsidRDefault="005F2333" w:rsidP="00741FD9">
      <w:pPr>
        <w:spacing w:after="0" w:line="240" w:lineRule="auto"/>
        <w:ind w:left="-567" w:right="-568"/>
        <w:jc w:val="both"/>
        <w:rPr>
          <w:rFonts w:ascii="Times New Roman" w:hAnsi="Times New Roman" w:cs="Times New Roman"/>
          <w:i/>
          <w:iCs/>
        </w:rPr>
      </w:pPr>
      <w:r w:rsidRPr="00DA7079">
        <w:rPr>
          <w:rFonts w:ascii="Times New Roman" w:hAnsi="Times New Roman" w:cs="Times New Roman"/>
          <w:i/>
          <w:iCs/>
        </w:rPr>
        <w:t xml:space="preserve">OBS. Aos revisores liberdade se necessário for poderá fazer corte, adequação, mudar e outros </w:t>
      </w:r>
    </w:p>
    <w:p w14:paraId="69E9BD88" w14:textId="77777777" w:rsidR="00D6717A" w:rsidRPr="00DA7079" w:rsidRDefault="00D6717A" w:rsidP="00741FD9">
      <w:pPr>
        <w:spacing w:after="0" w:line="240" w:lineRule="auto"/>
        <w:ind w:left="-567" w:right="-568"/>
        <w:jc w:val="both"/>
        <w:rPr>
          <w:rFonts w:ascii="Times New Roman" w:hAnsi="Times New Roman" w:cs="Times New Roman"/>
          <w:i/>
          <w:iCs/>
        </w:rPr>
      </w:pPr>
    </w:p>
    <w:p w14:paraId="7505C17D" w14:textId="77777777" w:rsidR="00B9557A" w:rsidRPr="00DA7079" w:rsidRDefault="00B9557A"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15BD1C59" w14:textId="77777777" w:rsidR="00A7033F" w:rsidRPr="00DA7079" w:rsidRDefault="00A7033F"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60DD040E" w14:textId="77777777" w:rsidR="002450DE" w:rsidRPr="00DA7079" w:rsidRDefault="002450DE"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7E42A59F" w14:textId="77777777" w:rsidR="00FD1B7F" w:rsidRPr="00DA7079" w:rsidRDefault="00FD1B7F"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3DF96731" w14:textId="77777777" w:rsidR="008C1971" w:rsidRPr="00DA7079" w:rsidRDefault="008C1971"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70764C3E" w14:textId="77777777" w:rsidR="008C1971" w:rsidRPr="00DA7079" w:rsidRDefault="008C1971"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6A0785B7" w14:textId="77777777" w:rsidR="002021C2" w:rsidRPr="00DA7079" w:rsidRDefault="002021C2"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1BBAEF71" w14:textId="77777777" w:rsidR="0078587F" w:rsidRPr="00DA7079" w:rsidRDefault="0078587F" w:rsidP="00741FD9">
      <w:pPr>
        <w:shd w:val="clear" w:color="auto" w:fill="FFFFFF"/>
        <w:spacing w:after="0" w:line="240" w:lineRule="auto"/>
        <w:ind w:left="-567" w:right="-568"/>
        <w:jc w:val="both"/>
        <w:rPr>
          <w:rFonts w:ascii="Times New Roman" w:eastAsia="Times New Roman" w:hAnsi="Times New Roman" w:cs="Times New Roman"/>
          <w:b/>
          <w:bCs/>
          <w:i/>
          <w:iCs/>
          <w:bdr w:val="none" w:sz="0" w:space="0" w:color="auto" w:frame="1"/>
          <w:lang w:eastAsia="pt-BR"/>
        </w:rPr>
      </w:pPr>
    </w:p>
    <w:p w14:paraId="3DC26ADA" w14:textId="77777777" w:rsidR="00400C82" w:rsidRPr="00DA7079" w:rsidRDefault="00400C82" w:rsidP="00741FD9">
      <w:pPr>
        <w:shd w:val="clear" w:color="auto" w:fill="FFFFFF"/>
        <w:spacing w:after="0" w:line="240" w:lineRule="auto"/>
        <w:ind w:left="-567" w:right="-568"/>
        <w:jc w:val="both"/>
        <w:rPr>
          <w:rFonts w:ascii="Times New Roman" w:eastAsia="Times New Roman" w:hAnsi="Times New Roman" w:cs="Times New Roman"/>
          <w:b/>
          <w:bCs/>
          <w:u w:val="single"/>
          <w:bdr w:val="none" w:sz="0" w:space="0" w:color="auto" w:frame="1"/>
          <w:lang w:eastAsia="pt-BR"/>
        </w:rPr>
      </w:pPr>
    </w:p>
    <w:p w14:paraId="56BA3C0E" w14:textId="77777777" w:rsidR="00400C82" w:rsidRPr="00DA7079" w:rsidRDefault="00400C82" w:rsidP="00741FD9">
      <w:pPr>
        <w:shd w:val="clear" w:color="auto" w:fill="FFFFFF"/>
        <w:spacing w:after="0" w:line="240" w:lineRule="auto"/>
        <w:ind w:left="-567" w:right="-568"/>
        <w:jc w:val="both"/>
        <w:rPr>
          <w:rFonts w:ascii="Times New Roman" w:eastAsia="Times New Roman" w:hAnsi="Times New Roman" w:cs="Times New Roman"/>
          <w:u w:val="single"/>
          <w:bdr w:val="none" w:sz="0" w:space="0" w:color="auto" w:frame="1"/>
          <w:lang w:eastAsia="pt-BR"/>
        </w:rPr>
      </w:pPr>
    </w:p>
    <w:p w14:paraId="40056352" w14:textId="77777777" w:rsidR="00FE53EC" w:rsidRPr="00DA7079" w:rsidRDefault="00FE53EC" w:rsidP="00741FD9">
      <w:pPr>
        <w:autoSpaceDE w:val="0"/>
        <w:autoSpaceDN w:val="0"/>
        <w:adjustRightInd w:val="0"/>
        <w:spacing w:after="0" w:line="240" w:lineRule="auto"/>
        <w:ind w:left="-567" w:right="-568"/>
        <w:jc w:val="both"/>
        <w:rPr>
          <w:rFonts w:ascii="Times New Roman" w:hAnsi="Times New Roman" w:cs="Times New Roman"/>
          <w:lang w:val="en-US"/>
        </w:rPr>
      </w:pPr>
    </w:p>
    <w:p w14:paraId="7EC50D59" w14:textId="77777777" w:rsidR="00CB1529" w:rsidRPr="00DA7079" w:rsidRDefault="00CB1529" w:rsidP="00741FD9">
      <w:pPr>
        <w:spacing w:after="0" w:line="240" w:lineRule="auto"/>
        <w:ind w:left="-567" w:right="-568"/>
        <w:jc w:val="both"/>
        <w:rPr>
          <w:rFonts w:ascii="Times New Roman" w:hAnsi="Times New Roman" w:cs="Times New Roman"/>
        </w:rPr>
      </w:pPr>
    </w:p>
    <w:sectPr w:rsidR="00CB1529" w:rsidRPr="00DA7079" w:rsidSect="006C74F1">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47791" w14:textId="77777777" w:rsidR="00F91F28" w:rsidRDefault="00F91F28" w:rsidP="00616AC3">
      <w:pPr>
        <w:spacing w:after="0" w:line="240" w:lineRule="auto"/>
      </w:pPr>
      <w:r>
        <w:separator/>
      </w:r>
    </w:p>
  </w:endnote>
  <w:endnote w:type="continuationSeparator" w:id="0">
    <w:p w14:paraId="59353E9A" w14:textId="77777777" w:rsidR="00F91F28" w:rsidRDefault="00F91F28" w:rsidP="00616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416C" w14:textId="77777777" w:rsidR="00616AC3" w:rsidRDefault="00616A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1660183"/>
      <w:docPartObj>
        <w:docPartGallery w:val="Page Numbers (Bottom of Page)"/>
        <w:docPartUnique/>
      </w:docPartObj>
    </w:sdtPr>
    <w:sdtEndPr/>
    <w:sdtContent>
      <w:p w14:paraId="7337C7FF" w14:textId="3300B82F" w:rsidR="00616AC3" w:rsidRDefault="00616AC3">
        <w:pPr>
          <w:pStyle w:val="Rodap"/>
          <w:jc w:val="center"/>
        </w:pPr>
        <w:r>
          <w:fldChar w:fldCharType="begin"/>
        </w:r>
        <w:r>
          <w:instrText>PAGE   \* MERGEFORMAT</w:instrText>
        </w:r>
        <w:r>
          <w:fldChar w:fldCharType="separate"/>
        </w:r>
        <w:r>
          <w:t>2</w:t>
        </w:r>
        <w:r>
          <w:fldChar w:fldCharType="end"/>
        </w:r>
      </w:p>
    </w:sdtContent>
  </w:sdt>
  <w:p w14:paraId="63EF9E47" w14:textId="77777777" w:rsidR="00616AC3" w:rsidRDefault="00616AC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5D9F7" w14:textId="77777777" w:rsidR="00616AC3" w:rsidRDefault="00616A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D6BDA" w14:textId="77777777" w:rsidR="00F91F28" w:rsidRDefault="00F91F28" w:rsidP="00616AC3">
      <w:pPr>
        <w:spacing w:after="0" w:line="240" w:lineRule="auto"/>
      </w:pPr>
      <w:r>
        <w:separator/>
      </w:r>
    </w:p>
  </w:footnote>
  <w:footnote w:type="continuationSeparator" w:id="0">
    <w:p w14:paraId="4DF3F10C" w14:textId="77777777" w:rsidR="00F91F28" w:rsidRDefault="00F91F28" w:rsidP="00616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0B347" w14:textId="77777777" w:rsidR="00616AC3" w:rsidRDefault="00616A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834D1" w14:textId="77777777" w:rsidR="00616AC3" w:rsidRDefault="00616AC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548D" w14:textId="77777777" w:rsidR="00616AC3" w:rsidRDefault="00616A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17FD5"/>
    <w:multiLevelType w:val="multilevel"/>
    <w:tmpl w:val="AB849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FA2EF8"/>
    <w:multiLevelType w:val="hybridMultilevel"/>
    <w:tmpl w:val="499E887C"/>
    <w:lvl w:ilvl="0" w:tplc="61A46698">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 w15:restartNumberingAfterBreak="0">
    <w:nsid w:val="25F158EE"/>
    <w:multiLevelType w:val="hybridMultilevel"/>
    <w:tmpl w:val="8C10CE2C"/>
    <w:lvl w:ilvl="0" w:tplc="202E0FBC">
      <w:start w:val="2"/>
      <w:numFmt w:val="decimal"/>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56365C6"/>
    <w:multiLevelType w:val="hybridMultilevel"/>
    <w:tmpl w:val="BAB06E94"/>
    <w:lvl w:ilvl="0" w:tplc="9A30B888">
      <w:start w:val="1"/>
      <w:numFmt w:val="decimal"/>
      <w:lvlText w:val="%1."/>
      <w:lvlJc w:val="left"/>
      <w:pPr>
        <w:ind w:left="11" w:hanging="360"/>
      </w:pPr>
      <w:rPr>
        <w:rFonts w:hint="default"/>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 w15:restartNumberingAfterBreak="0">
    <w:nsid w:val="4CDC4C6A"/>
    <w:multiLevelType w:val="hybridMultilevel"/>
    <w:tmpl w:val="8A2AD4B2"/>
    <w:lvl w:ilvl="0" w:tplc="64545D60">
      <w:start w:val="2"/>
      <w:numFmt w:val="upperRoman"/>
      <w:lvlText w:val="%1."/>
      <w:lvlJc w:val="righ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D5940E2"/>
    <w:multiLevelType w:val="hybridMultilevel"/>
    <w:tmpl w:val="B546BB3C"/>
    <w:lvl w:ilvl="0" w:tplc="FCE0C4D0">
      <w:start w:val="8"/>
      <w:numFmt w:val="upperRoman"/>
      <w:lvlText w:val="%1."/>
      <w:lvlJc w:val="right"/>
      <w:pPr>
        <w:ind w:left="36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F363767"/>
    <w:multiLevelType w:val="hybridMultilevel"/>
    <w:tmpl w:val="04CC7404"/>
    <w:lvl w:ilvl="0" w:tplc="4964D5E8">
      <w:start w:val="1"/>
      <w:numFmt w:val="decimal"/>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25C7E75"/>
    <w:multiLevelType w:val="multilevel"/>
    <w:tmpl w:val="27CA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2E3DED"/>
    <w:multiLevelType w:val="hybridMultilevel"/>
    <w:tmpl w:val="A3CA15A6"/>
    <w:lvl w:ilvl="0" w:tplc="8D3E02DA">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9" w15:restartNumberingAfterBreak="0">
    <w:nsid w:val="7D544646"/>
    <w:multiLevelType w:val="hybridMultilevel"/>
    <w:tmpl w:val="009EF8BE"/>
    <w:lvl w:ilvl="0" w:tplc="F53C8BF0">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7"/>
  </w:num>
  <w:num w:numId="5">
    <w:abstractNumId w:val="1"/>
  </w:num>
  <w:num w:numId="6">
    <w:abstractNumId w:val="4"/>
  </w:num>
  <w:num w:numId="7">
    <w:abstractNumId w:val="5"/>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FF"/>
    <w:rsid w:val="00000A1B"/>
    <w:rsid w:val="00027BDF"/>
    <w:rsid w:val="00027E36"/>
    <w:rsid w:val="00056991"/>
    <w:rsid w:val="000668E7"/>
    <w:rsid w:val="00067C70"/>
    <w:rsid w:val="0007618B"/>
    <w:rsid w:val="00094974"/>
    <w:rsid w:val="000A5397"/>
    <w:rsid w:val="000B3609"/>
    <w:rsid w:val="00161A1F"/>
    <w:rsid w:val="00183244"/>
    <w:rsid w:val="001A1464"/>
    <w:rsid w:val="001C7BD9"/>
    <w:rsid w:val="001D4F85"/>
    <w:rsid w:val="001F6E66"/>
    <w:rsid w:val="002021C2"/>
    <w:rsid w:val="0020412F"/>
    <w:rsid w:val="00243D46"/>
    <w:rsid w:val="002450DE"/>
    <w:rsid w:val="002A7965"/>
    <w:rsid w:val="002B3708"/>
    <w:rsid w:val="002B60B5"/>
    <w:rsid w:val="002C5E11"/>
    <w:rsid w:val="0033173B"/>
    <w:rsid w:val="00363FD5"/>
    <w:rsid w:val="003C4DC2"/>
    <w:rsid w:val="00400C82"/>
    <w:rsid w:val="004166D4"/>
    <w:rsid w:val="0048339C"/>
    <w:rsid w:val="004F5825"/>
    <w:rsid w:val="00525DBD"/>
    <w:rsid w:val="00526D34"/>
    <w:rsid w:val="00527AF1"/>
    <w:rsid w:val="00572CD1"/>
    <w:rsid w:val="005933CF"/>
    <w:rsid w:val="005F0003"/>
    <w:rsid w:val="005F2333"/>
    <w:rsid w:val="005F5D46"/>
    <w:rsid w:val="0060478C"/>
    <w:rsid w:val="00616AC3"/>
    <w:rsid w:val="006625B1"/>
    <w:rsid w:val="006629E4"/>
    <w:rsid w:val="006654CE"/>
    <w:rsid w:val="00667883"/>
    <w:rsid w:val="0067022B"/>
    <w:rsid w:val="006913F9"/>
    <w:rsid w:val="006C2431"/>
    <w:rsid w:val="006C74F1"/>
    <w:rsid w:val="006D6E6D"/>
    <w:rsid w:val="006F0FCA"/>
    <w:rsid w:val="00705C4B"/>
    <w:rsid w:val="0072672F"/>
    <w:rsid w:val="00741FD9"/>
    <w:rsid w:val="0074259F"/>
    <w:rsid w:val="00745C76"/>
    <w:rsid w:val="0078587F"/>
    <w:rsid w:val="00791C3F"/>
    <w:rsid w:val="007B4A78"/>
    <w:rsid w:val="00807920"/>
    <w:rsid w:val="00807BC1"/>
    <w:rsid w:val="00812D2D"/>
    <w:rsid w:val="008142C1"/>
    <w:rsid w:val="008314C0"/>
    <w:rsid w:val="00831CAB"/>
    <w:rsid w:val="00836835"/>
    <w:rsid w:val="00854383"/>
    <w:rsid w:val="00866813"/>
    <w:rsid w:val="00895EBC"/>
    <w:rsid w:val="008A011D"/>
    <w:rsid w:val="008A57BE"/>
    <w:rsid w:val="008A72D1"/>
    <w:rsid w:val="008B6E37"/>
    <w:rsid w:val="008C1971"/>
    <w:rsid w:val="0092104F"/>
    <w:rsid w:val="00926DEC"/>
    <w:rsid w:val="00930377"/>
    <w:rsid w:val="00935F78"/>
    <w:rsid w:val="00955BE0"/>
    <w:rsid w:val="00956512"/>
    <w:rsid w:val="00962160"/>
    <w:rsid w:val="009632D7"/>
    <w:rsid w:val="0096608B"/>
    <w:rsid w:val="00967B80"/>
    <w:rsid w:val="00984E73"/>
    <w:rsid w:val="00992AC2"/>
    <w:rsid w:val="00994499"/>
    <w:rsid w:val="009D290B"/>
    <w:rsid w:val="009E24B1"/>
    <w:rsid w:val="009E5CAD"/>
    <w:rsid w:val="009F37FF"/>
    <w:rsid w:val="009F75A1"/>
    <w:rsid w:val="00A16173"/>
    <w:rsid w:val="00A25DEE"/>
    <w:rsid w:val="00A63512"/>
    <w:rsid w:val="00A7033F"/>
    <w:rsid w:val="00AA125B"/>
    <w:rsid w:val="00AB5095"/>
    <w:rsid w:val="00AD14C0"/>
    <w:rsid w:val="00B17570"/>
    <w:rsid w:val="00B50634"/>
    <w:rsid w:val="00B9557A"/>
    <w:rsid w:val="00BA4A3E"/>
    <w:rsid w:val="00BC37E1"/>
    <w:rsid w:val="00BD6C4C"/>
    <w:rsid w:val="00C1211F"/>
    <w:rsid w:val="00C22256"/>
    <w:rsid w:val="00C2325D"/>
    <w:rsid w:val="00C25F9D"/>
    <w:rsid w:val="00C5772F"/>
    <w:rsid w:val="00C80539"/>
    <w:rsid w:val="00C93EAB"/>
    <w:rsid w:val="00CA2262"/>
    <w:rsid w:val="00CB1529"/>
    <w:rsid w:val="00CC2627"/>
    <w:rsid w:val="00CD1FFB"/>
    <w:rsid w:val="00CD6BD9"/>
    <w:rsid w:val="00D004CF"/>
    <w:rsid w:val="00D04AC6"/>
    <w:rsid w:val="00D101A0"/>
    <w:rsid w:val="00D1786C"/>
    <w:rsid w:val="00D4497B"/>
    <w:rsid w:val="00D6717A"/>
    <w:rsid w:val="00D9664D"/>
    <w:rsid w:val="00DA6961"/>
    <w:rsid w:val="00DA6992"/>
    <w:rsid w:val="00DA7079"/>
    <w:rsid w:val="00DE6C1B"/>
    <w:rsid w:val="00E02D6F"/>
    <w:rsid w:val="00E245E0"/>
    <w:rsid w:val="00E4693A"/>
    <w:rsid w:val="00E66730"/>
    <w:rsid w:val="00E756FF"/>
    <w:rsid w:val="00E77CBF"/>
    <w:rsid w:val="00E86273"/>
    <w:rsid w:val="00EB19F3"/>
    <w:rsid w:val="00EE427C"/>
    <w:rsid w:val="00EE6C08"/>
    <w:rsid w:val="00F320C4"/>
    <w:rsid w:val="00F51814"/>
    <w:rsid w:val="00F91F28"/>
    <w:rsid w:val="00F94311"/>
    <w:rsid w:val="00FD1B7F"/>
    <w:rsid w:val="00FE53EC"/>
    <w:rsid w:val="00FE7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9793"/>
  <w15:chartTrackingRefBased/>
  <w15:docId w15:val="{D7DA89DD-7AB5-456D-A329-3A0C658C0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DE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866813"/>
    <w:rPr>
      <w:color w:val="0563C1" w:themeColor="hyperlink"/>
      <w:u w:val="single"/>
    </w:rPr>
  </w:style>
  <w:style w:type="character" w:styleId="MenoPendente">
    <w:name w:val="Unresolved Mention"/>
    <w:basedOn w:val="Fontepargpadro"/>
    <w:uiPriority w:val="99"/>
    <w:semiHidden/>
    <w:unhideWhenUsed/>
    <w:rsid w:val="00866813"/>
    <w:rPr>
      <w:color w:val="605E5C"/>
      <w:shd w:val="clear" w:color="auto" w:fill="E1DFDD"/>
    </w:rPr>
  </w:style>
  <w:style w:type="character" w:customStyle="1" w:styleId="fontstyle01">
    <w:name w:val="fontstyle01"/>
    <w:basedOn w:val="Fontepargpadro"/>
    <w:rsid w:val="0060478C"/>
    <w:rPr>
      <w:rFonts w:ascii="MinionPro-Regular" w:hAnsi="MinionPro-Regular" w:hint="default"/>
      <w:b w:val="0"/>
      <w:bCs w:val="0"/>
      <w:i w:val="0"/>
      <w:iCs w:val="0"/>
      <w:color w:val="242021"/>
      <w:sz w:val="20"/>
      <w:szCs w:val="20"/>
    </w:rPr>
  </w:style>
  <w:style w:type="character" w:styleId="Refdecomentrio">
    <w:name w:val="annotation reference"/>
    <w:basedOn w:val="Fontepargpadro"/>
    <w:uiPriority w:val="99"/>
    <w:semiHidden/>
    <w:unhideWhenUsed/>
    <w:rsid w:val="00836835"/>
    <w:rPr>
      <w:sz w:val="16"/>
      <w:szCs w:val="16"/>
    </w:rPr>
  </w:style>
  <w:style w:type="paragraph" w:styleId="Textodecomentrio">
    <w:name w:val="annotation text"/>
    <w:basedOn w:val="Normal"/>
    <w:link w:val="TextodecomentrioChar"/>
    <w:uiPriority w:val="99"/>
    <w:semiHidden/>
    <w:unhideWhenUsed/>
    <w:rsid w:val="0083683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36835"/>
    <w:rPr>
      <w:sz w:val="20"/>
      <w:szCs w:val="20"/>
    </w:rPr>
  </w:style>
  <w:style w:type="paragraph" w:styleId="Assuntodocomentrio">
    <w:name w:val="annotation subject"/>
    <w:basedOn w:val="Textodecomentrio"/>
    <w:next w:val="Textodecomentrio"/>
    <w:link w:val="AssuntodocomentrioChar"/>
    <w:uiPriority w:val="99"/>
    <w:semiHidden/>
    <w:unhideWhenUsed/>
    <w:rsid w:val="00836835"/>
    <w:rPr>
      <w:b/>
      <w:bCs/>
    </w:rPr>
  </w:style>
  <w:style w:type="character" w:customStyle="1" w:styleId="AssuntodocomentrioChar">
    <w:name w:val="Assunto do comentário Char"/>
    <w:basedOn w:val="TextodecomentrioChar"/>
    <w:link w:val="Assuntodocomentrio"/>
    <w:uiPriority w:val="99"/>
    <w:semiHidden/>
    <w:rsid w:val="00836835"/>
    <w:rPr>
      <w:b/>
      <w:bCs/>
      <w:sz w:val="20"/>
      <w:szCs w:val="20"/>
    </w:rPr>
  </w:style>
  <w:style w:type="paragraph" w:styleId="PargrafodaLista">
    <w:name w:val="List Paragraph"/>
    <w:basedOn w:val="Normal"/>
    <w:uiPriority w:val="34"/>
    <w:qFormat/>
    <w:rsid w:val="0007618B"/>
    <w:pPr>
      <w:ind w:left="720"/>
      <w:contextualSpacing/>
    </w:pPr>
  </w:style>
  <w:style w:type="character" w:styleId="nfase">
    <w:name w:val="Emphasis"/>
    <w:basedOn w:val="Fontepargpadro"/>
    <w:uiPriority w:val="20"/>
    <w:qFormat/>
    <w:rsid w:val="005F5D46"/>
    <w:rPr>
      <w:i/>
      <w:iCs/>
    </w:rPr>
  </w:style>
  <w:style w:type="paragraph" w:styleId="Cabealho">
    <w:name w:val="header"/>
    <w:basedOn w:val="Normal"/>
    <w:link w:val="CabealhoChar"/>
    <w:uiPriority w:val="99"/>
    <w:unhideWhenUsed/>
    <w:rsid w:val="00616A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16AC3"/>
  </w:style>
  <w:style w:type="paragraph" w:styleId="Rodap">
    <w:name w:val="footer"/>
    <w:basedOn w:val="Normal"/>
    <w:link w:val="RodapChar"/>
    <w:uiPriority w:val="99"/>
    <w:unhideWhenUsed/>
    <w:rsid w:val="00616AC3"/>
    <w:pPr>
      <w:tabs>
        <w:tab w:val="center" w:pos="4252"/>
        <w:tab w:val="right" w:pos="8504"/>
      </w:tabs>
      <w:spacing w:after="0" w:line="240" w:lineRule="auto"/>
    </w:pPr>
  </w:style>
  <w:style w:type="character" w:customStyle="1" w:styleId="RodapChar">
    <w:name w:val="Rodapé Char"/>
    <w:basedOn w:val="Fontepargpadro"/>
    <w:link w:val="Rodap"/>
    <w:uiPriority w:val="99"/>
    <w:rsid w:val="00616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11705">
      <w:bodyDiv w:val="1"/>
      <w:marLeft w:val="0"/>
      <w:marRight w:val="0"/>
      <w:marTop w:val="0"/>
      <w:marBottom w:val="0"/>
      <w:divBdr>
        <w:top w:val="none" w:sz="0" w:space="0" w:color="auto"/>
        <w:left w:val="none" w:sz="0" w:space="0" w:color="auto"/>
        <w:bottom w:val="none" w:sz="0" w:space="0" w:color="auto"/>
        <w:right w:val="none" w:sz="0" w:space="0" w:color="auto"/>
      </w:divBdr>
    </w:div>
    <w:div w:id="131756942">
      <w:bodyDiv w:val="1"/>
      <w:marLeft w:val="0"/>
      <w:marRight w:val="0"/>
      <w:marTop w:val="0"/>
      <w:marBottom w:val="0"/>
      <w:divBdr>
        <w:top w:val="none" w:sz="0" w:space="0" w:color="auto"/>
        <w:left w:val="none" w:sz="0" w:space="0" w:color="auto"/>
        <w:bottom w:val="none" w:sz="0" w:space="0" w:color="auto"/>
        <w:right w:val="none" w:sz="0" w:space="0" w:color="auto"/>
      </w:divBdr>
    </w:div>
    <w:div w:id="219172885">
      <w:bodyDiv w:val="1"/>
      <w:marLeft w:val="0"/>
      <w:marRight w:val="0"/>
      <w:marTop w:val="0"/>
      <w:marBottom w:val="0"/>
      <w:divBdr>
        <w:top w:val="none" w:sz="0" w:space="0" w:color="auto"/>
        <w:left w:val="none" w:sz="0" w:space="0" w:color="auto"/>
        <w:bottom w:val="none" w:sz="0" w:space="0" w:color="auto"/>
        <w:right w:val="none" w:sz="0" w:space="0" w:color="auto"/>
      </w:divBdr>
    </w:div>
    <w:div w:id="226191232">
      <w:bodyDiv w:val="1"/>
      <w:marLeft w:val="0"/>
      <w:marRight w:val="0"/>
      <w:marTop w:val="0"/>
      <w:marBottom w:val="0"/>
      <w:divBdr>
        <w:top w:val="none" w:sz="0" w:space="0" w:color="auto"/>
        <w:left w:val="none" w:sz="0" w:space="0" w:color="auto"/>
        <w:bottom w:val="none" w:sz="0" w:space="0" w:color="auto"/>
        <w:right w:val="none" w:sz="0" w:space="0" w:color="auto"/>
      </w:divBdr>
    </w:div>
    <w:div w:id="236138852">
      <w:bodyDiv w:val="1"/>
      <w:marLeft w:val="0"/>
      <w:marRight w:val="0"/>
      <w:marTop w:val="0"/>
      <w:marBottom w:val="0"/>
      <w:divBdr>
        <w:top w:val="none" w:sz="0" w:space="0" w:color="auto"/>
        <w:left w:val="none" w:sz="0" w:space="0" w:color="auto"/>
        <w:bottom w:val="none" w:sz="0" w:space="0" w:color="auto"/>
        <w:right w:val="none" w:sz="0" w:space="0" w:color="auto"/>
      </w:divBdr>
    </w:div>
    <w:div w:id="310913513">
      <w:bodyDiv w:val="1"/>
      <w:marLeft w:val="0"/>
      <w:marRight w:val="0"/>
      <w:marTop w:val="0"/>
      <w:marBottom w:val="0"/>
      <w:divBdr>
        <w:top w:val="none" w:sz="0" w:space="0" w:color="auto"/>
        <w:left w:val="none" w:sz="0" w:space="0" w:color="auto"/>
        <w:bottom w:val="none" w:sz="0" w:space="0" w:color="auto"/>
        <w:right w:val="none" w:sz="0" w:space="0" w:color="auto"/>
      </w:divBdr>
    </w:div>
    <w:div w:id="407000896">
      <w:bodyDiv w:val="1"/>
      <w:marLeft w:val="0"/>
      <w:marRight w:val="0"/>
      <w:marTop w:val="0"/>
      <w:marBottom w:val="0"/>
      <w:divBdr>
        <w:top w:val="none" w:sz="0" w:space="0" w:color="auto"/>
        <w:left w:val="none" w:sz="0" w:space="0" w:color="auto"/>
        <w:bottom w:val="none" w:sz="0" w:space="0" w:color="auto"/>
        <w:right w:val="none" w:sz="0" w:space="0" w:color="auto"/>
      </w:divBdr>
      <w:divsChild>
        <w:div w:id="443114986">
          <w:marLeft w:val="0"/>
          <w:marRight w:val="0"/>
          <w:marTop w:val="0"/>
          <w:marBottom w:val="0"/>
          <w:divBdr>
            <w:top w:val="none" w:sz="0" w:space="0" w:color="auto"/>
            <w:left w:val="none" w:sz="0" w:space="0" w:color="auto"/>
            <w:bottom w:val="none" w:sz="0" w:space="0" w:color="auto"/>
            <w:right w:val="none" w:sz="0" w:space="0" w:color="auto"/>
          </w:divBdr>
        </w:div>
        <w:div w:id="1250652092">
          <w:marLeft w:val="0"/>
          <w:marRight w:val="0"/>
          <w:marTop w:val="0"/>
          <w:marBottom w:val="0"/>
          <w:divBdr>
            <w:top w:val="none" w:sz="0" w:space="0" w:color="auto"/>
            <w:left w:val="none" w:sz="0" w:space="0" w:color="auto"/>
            <w:bottom w:val="none" w:sz="0" w:space="0" w:color="auto"/>
            <w:right w:val="none" w:sz="0" w:space="0" w:color="auto"/>
          </w:divBdr>
          <w:divsChild>
            <w:div w:id="1978752682">
              <w:marLeft w:val="0"/>
              <w:marRight w:val="0"/>
              <w:marTop w:val="0"/>
              <w:marBottom w:val="0"/>
              <w:divBdr>
                <w:top w:val="none" w:sz="0" w:space="0" w:color="auto"/>
                <w:left w:val="none" w:sz="0" w:space="0" w:color="auto"/>
                <w:bottom w:val="none" w:sz="0" w:space="0" w:color="auto"/>
                <w:right w:val="none" w:sz="0" w:space="0" w:color="auto"/>
              </w:divBdr>
              <w:divsChild>
                <w:div w:id="194846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38169">
      <w:bodyDiv w:val="1"/>
      <w:marLeft w:val="0"/>
      <w:marRight w:val="0"/>
      <w:marTop w:val="0"/>
      <w:marBottom w:val="0"/>
      <w:divBdr>
        <w:top w:val="none" w:sz="0" w:space="0" w:color="auto"/>
        <w:left w:val="none" w:sz="0" w:space="0" w:color="auto"/>
        <w:bottom w:val="none" w:sz="0" w:space="0" w:color="auto"/>
        <w:right w:val="none" w:sz="0" w:space="0" w:color="auto"/>
      </w:divBdr>
    </w:div>
    <w:div w:id="613442217">
      <w:bodyDiv w:val="1"/>
      <w:marLeft w:val="0"/>
      <w:marRight w:val="0"/>
      <w:marTop w:val="0"/>
      <w:marBottom w:val="0"/>
      <w:divBdr>
        <w:top w:val="none" w:sz="0" w:space="0" w:color="auto"/>
        <w:left w:val="none" w:sz="0" w:space="0" w:color="auto"/>
        <w:bottom w:val="none" w:sz="0" w:space="0" w:color="auto"/>
        <w:right w:val="none" w:sz="0" w:space="0" w:color="auto"/>
      </w:divBdr>
    </w:div>
    <w:div w:id="794720004">
      <w:bodyDiv w:val="1"/>
      <w:marLeft w:val="0"/>
      <w:marRight w:val="0"/>
      <w:marTop w:val="0"/>
      <w:marBottom w:val="0"/>
      <w:divBdr>
        <w:top w:val="none" w:sz="0" w:space="0" w:color="auto"/>
        <w:left w:val="none" w:sz="0" w:space="0" w:color="auto"/>
        <w:bottom w:val="none" w:sz="0" w:space="0" w:color="auto"/>
        <w:right w:val="none" w:sz="0" w:space="0" w:color="auto"/>
      </w:divBdr>
      <w:divsChild>
        <w:div w:id="1843203721">
          <w:marLeft w:val="0"/>
          <w:marRight w:val="0"/>
          <w:marTop w:val="0"/>
          <w:marBottom w:val="0"/>
          <w:divBdr>
            <w:top w:val="none" w:sz="0" w:space="0" w:color="auto"/>
            <w:left w:val="none" w:sz="0" w:space="0" w:color="auto"/>
            <w:bottom w:val="none" w:sz="0" w:space="0" w:color="auto"/>
            <w:right w:val="none" w:sz="0" w:space="0" w:color="auto"/>
          </w:divBdr>
        </w:div>
        <w:div w:id="593974565">
          <w:marLeft w:val="0"/>
          <w:marRight w:val="0"/>
          <w:marTop w:val="0"/>
          <w:marBottom w:val="0"/>
          <w:divBdr>
            <w:top w:val="none" w:sz="0" w:space="0" w:color="auto"/>
            <w:left w:val="none" w:sz="0" w:space="0" w:color="auto"/>
            <w:bottom w:val="none" w:sz="0" w:space="0" w:color="auto"/>
            <w:right w:val="none" w:sz="0" w:space="0" w:color="auto"/>
          </w:divBdr>
        </w:div>
        <w:div w:id="196435615">
          <w:marLeft w:val="0"/>
          <w:marRight w:val="0"/>
          <w:marTop w:val="0"/>
          <w:marBottom w:val="0"/>
          <w:divBdr>
            <w:top w:val="none" w:sz="0" w:space="0" w:color="auto"/>
            <w:left w:val="none" w:sz="0" w:space="0" w:color="auto"/>
            <w:bottom w:val="none" w:sz="0" w:space="0" w:color="auto"/>
            <w:right w:val="none" w:sz="0" w:space="0" w:color="auto"/>
          </w:divBdr>
        </w:div>
        <w:div w:id="418335749">
          <w:marLeft w:val="0"/>
          <w:marRight w:val="0"/>
          <w:marTop w:val="0"/>
          <w:marBottom w:val="0"/>
          <w:divBdr>
            <w:top w:val="none" w:sz="0" w:space="0" w:color="auto"/>
            <w:left w:val="none" w:sz="0" w:space="0" w:color="auto"/>
            <w:bottom w:val="none" w:sz="0" w:space="0" w:color="auto"/>
            <w:right w:val="none" w:sz="0" w:space="0" w:color="auto"/>
          </w:divBdr>
        </w:div>
        <w:div w:id="2078935387">
          <w:marLeft w:val="0"/>
          <w:marRight w:val="0"/>
          <w:marTop w:val="0"/>
          <w:marBottom w:val="0"/>
          <w:divBdr>
            <w:top w:val="none" w:sz="0" w:space="0" w:color="auto"/>
            <w:left w:val="none" w:sz="0" w:space="0" w:color="auto"/>
            <w:bottom w:val="none" w:sz="0" w:space="0" w:color="auto"/>
            <w:right w:val="none" w:sz="0" w:space="0" w:color="auto"/>
          </w:divBdr>
        </w:div>
        <w:div w:id="1906141629">
          <w:marLeft w:val="0"/>
          <w:marRight w:val="0"/>
          <w:marTop w:val="0"/>
          <w:marBottom w:val="0"/>
          <w:divBdr>
            <w:top w:val="none" w:sz="0" w:space="0" w:color="auto"/>
            <w:left w:val="none" w:sz="0" w:space="0" w:color="auto"/>
            <w:bottom w:val="none" w:sz="0" w:space="0" w:color="auto"/>
            <w:right w:val="none" w:sz="0" w:space="0" w:color="auto"/>
          </w:divBdr>
        </w:div>
        <w:div w:id="447162690">
          <w:marLeft w:val="0"/>
          <w:marRight w:val="0"/>
          <w:marTop w:val="0"/>
          <w:marBottom w:val="0"/>
          <w:divBdr>
            <w:top w:val="none" w:sz="0" w:space="0" w:color="auto"/>
            <w:left w:val="none" w:sz="0" w:space="0" w:color="auto"/>
            <w:bottom w:val="none" w:sz="0" w:space="0" w:color="auto"/>
            <w:right w:val="none" w:sz="0" w:space="0" w:color="auto"/>
          </w:divBdr>
        </w:div>
        <w:div w:id="1482044583">
          <w:marLeft w:val="0"/>
          <w:marRight w:val="0"/>
          <w:marTop w:val="0"/>
          <w:marBottom w:val="0"/>
          <w:divBdr>
            <w:top w:val="none" w:sz="0" w:space="0" w:color="auto"/>
            <w:left w:val="none" w:sz="0" w:space="0" w:color="auto"/>
            <w:bottom w:val="none" w:sz="0" w:space="0" w:color="auto"/>
            <w:right w:val="none" w:sz="0" w:space="0" w:color="auto"/>
          </w:divBdr>
        </w:div>
        <w:div w:id="1896695311">
          <w:marLeft w:val="0"/>
          <w:marRight w:val="0"/>
          <w:marTop w:val="0"/>
          <w:marBottom w:val="0"/>
          <w:divBdr>
            <w:top w:val="none" w:sz="0" w:space="0" w:color="auto"/>
            <w:left w:val="none" w:sz="0" w:space="0" w:color="auto"/>
            <w:bottom w:val="none" w:sz="0" w:space="0" w:color="auto"/>
            <w:right w:val="none" w:sz="0" w:space="0" w:color="auto"/>
          </w:divBdr>
        </w:div>
        <w:div w:id="1477991673">
          <w:marLeft w:val="0"/>
          <w:marRight w:val="0"/>
          <w:marTop w:val="0"/>
          <w:marBottom w:val="0"/>
          <w:divBdr>
            <w:top w:val="none" w:sz="0" w:space="0" w:color="auto"/>
            <w:left w:val="none" w:sz="0" w:space="0" w:color="auto"/>
            <w:bottom w:val="none" w:sz="0" w:space="0" w:color="auto"/>
            <w:right w:val="none" w:sz="0" w:space="0" w:color="auto"/>
          </w:divBdr>
        </w:div>
        <w:div w:id="1613437730">
          <w:marLeft w:val="0"/>
          <w:marRight w:val="0"/>
          <w:marTop w:val="0"/>
          <w:marBottom w:val="0"/>
          <w:divBdr>
            <w:top w:val="none" w:sz="0" w:space="0" w:color="auto"/>
            <w:left w:val="none" w:sz="0" w:space="0" w:color="auto"/>
            <w:bottom w:val="none" w:sz="0" w:space="0" w:color="auto"/>
            <w:right w:val="none" w:sz="0" w:space="0" w:color="auto"/>
          </w:divBdr>
        </w:div>
        <w:div w:id="2021005675">
          <w:marLeft w:val="0"/>
          <w:marRight w:val="0"/>
          <w:marTop w:val="0"/>
          <w:marBottom w:val="0"/>
          <w:divBdr>
            <w:top w:val="none" w:sz="0" w:space="0" w:color="auto"/>
            <w:left w:val="none" w:sz="0" w:space="0" w:color="auto"/>
            <w:bottom w:val="none" w:sz="0" w:space="0" w:color="auto"/>
            <w:right w:val="none" w:sz="0" w:space="0" w:color="auto"/>
          </w:divBdr>
        </w:div>
        <w:div w:id="487751390">
          <w:marLeft w:val="0"/>
          <w:marRight w:val="0"/>
          <w:marTop w:val="0"/>
          <w:marBottom w:val="0"/>
          <w:divBdr>
            <w:top w:val="none" w:sz="0" w:space="0" w:color="auto"/>
            <w:left w:val="none" w:sz="0" w:space="0" w:color="auto"/>
            <w:bottom w:val="none" w:sz="0" w:space="0" w:color="auto"/>
            <w:right w:val="none" w:sz="0" w:space="0" w:color="auto"/>
          </w:divBdr>
        </w:div>
        <w:div w:id="727269421">
          <w:marLeft w:val="0"/>
          <w:marRight w:val="0"/>
          <w:marTop w:val="0"/>
          <w:marBottom w:val="0"/>
          <w:divBdr>
            <w:top w:val="none" w:sz="0" w:space="0" w:color="auto"/>
            <w:left w:val="none" w:sz="0" w:space="0" w:color="auto"/>
            <w:bottom w:val="none" w:sz="0" w:space="0" w:color="auto"/>
            <w:right w:val="none" w:sz="0" w:space="0" w:color="auto"/>
          </w:divBdr>
        </w:div>
        <w:div w:id="698775185">
          <w:marLeft w:val="0"/>
          <w:marRight w:val="0"/>
          <w:marTop w:val="0"/>
          <w:marBottom w:val="0"/>
          <w:divBdr>
            <w:top w:val="none" w:sz="0" w:space="0" w:color="auto"/>
            <w:left w:val="none" w:sz="0" w:space="0" w:color="auto"/>
            <w:bottom w:val="none" w:sz="0" w:space="0" w:color="auto"/>
            <w:right w:val="none" w:sz="0" w:space="0" w:color="auto"/>
          </w:divBdr>
        </w:div>
        <w:div w:id="1091778413">
          <w:marLeft w:val="0"/>
          <w:marRight w:val="0"/>
          <w:marTop w:val="0"/>
          <w:marBottom w:val="0"/>
          <w:divBdr>
            <w:top w:val="none" w:sz="0" w:space="0" w:color="auto"/>
            <w:left w:val="none" w:sz="0" w:space="0" w:color="auto"/>
            <w:bottom w:val="none" w:sz="0" w:space="0" w:color="auto"/>
            <w:right w:val="none" w:sz="0" w:space="0" w:color="auto"/>
          </w:divBdr>
        </w:div>
        <w:div w:id="1665429332">
          <w:marLeft w:val="0"/>
          <w:marRight w:val="0"/>
          <w:marTop w:val="0"/>
          <w:marBottom w:val="0"/>
          <w:divBdr>
            <w:top w:val="none" w:sz="0" w:space="0" w:color="auto"/>
            <w:left w:val="none" w:sz="0" w:space="0" w:color="auto"/>
            <w:bottom w:val="none" w:sz="0" w:space="0" w:color="auto"/>
            <w:right w:val="none" w:sz="0" w:space="0" w:color="auto"/>
          </w:divBdr>
        </w:div>
        <w:div w:id="538930037">
          <w:marLeft w:val="0"/>
          <w:marRight w:val="0"/>
          <w:marTop w:val="0"/>
          <w:marBottom w:val="0"/>
          <w:divBdr>
            <w:top w:val="none" w:sz="0" w:space="0" w:color="auto"/>
            <w:left w:val="none" w:sz="0" w:space="0" w:color="auto"/>
            <w:bottom w:val="none" w:sz="0" w:space="0" w:color="auto"/>
            <w:right w:val="none" w:sz="0" w:space="0" w:color="auto"/>
          </w:divBdr>
        </w:div>
        <w:div w:id="567617415">
          <w:marLeft w:val="0"/>
          <w:marRight w:val="0"/>
          <w:marTop w:val="0"/>
          <w:marBottom w:val="0"/>
          <w:divBdr>
            <w:top w:val="none" w:sz="0" w:space="0" w:color="auto"/>
            <w:left w:val="none" w:sz="0" w:space="0" w:color="auto"/>
            <w:bottom w:val="none" w:sz="0" w:space="0" w:color="auto"/>
            <w:right w:val="none" w:sz="0" w:space="0" w:color="auto"/>
          </w:divBdr>
        </w:div>
        <w:div w:id="1889023498">
          <w:marLeft w:val="0"/>
          <w:marRight w:val="0"/>
          <w:marTop w:val="0"/>
          <w:marBottom w:val="0"/>
          <w:divBdr>
            <w:top w:val="none" w:sz="0" w:space="0" w:color="auto"/>
            <w:left w:val="none" w:sz="0" w:space="0" w:color="auto"/>
            <w:bottom w:val="none" w:sz="0" w:space="0" w:color="auto"/>
            <w:right w:val="none" w:sz="0" w:space="0" w:color="auto"/>
          </w:divBdr>
        </w:div>
        <w:div w:id="779026983">
          <w:marLeft w:val="0"/>
          <w:marRight w:val="0"/>
          <w:marTop w:val="0"/>
          <w:marBottom w:val="0"/>
          <w:divBdr>
            <w:top w:val="none" w:sz="0" w:space="0" w:color="auto"/>
            <w:left w:val="none" w:sz="0" w:space="0" w:color="auto"/>
            <w:bottom w:val="none" w:sz="0" w:space="0" w:color="auto"/>
            <w:right w:val="none" w:sz="0" w:space="0" w:color="auto"/>
          </w:divBdr>
        </w:div>
        <w:div w:id="571818727">
          <w:marLeft w:val="0"/>
          <w:marRight w:val="0"/>
          <w:marTop w:val="0"/>
          <w:marBottom w:val="0"/>
          <w:divBdr>
            <w:top w:val="none" w:sz="0" w:space="0" w:color="auto"/>
            <w:left w:val="none" w:sz="0" w:space="0" w:color="auto"/>
            <w:bottom w:val="none" w:sz="0" w:space="0" w:color="auto"/>
            <w:right w:val="none" w:sz="0" w:space="0" w:color="auto"/>
          </w:divBdr>
        </w:div>
        <w:div w:id="929659553">
          <w:marLeft w:val="0"/>
          <w:marRight w:val="0"/>
          <w:marTop w:val="0"/>
          <w:marBottom w:val="0"/>
          <w:divBdr>
            <w:top w:val="none" w:sz="0" w:space="0" w:color="auto"/>
            <w:left w:val="none" w:sz="0" w:space="0" w:color="auto"/>
            <w:bottom w:val="none" w:sz="0" w:space="0" w:color="auto"/>
            <w:right w:val="none" w:sz="0" w:space="0" w:color="auto"/>
          </w:divBdr>
        </w:div>
        <w:div w:id="363598987">
          <w:marLeft w:val="0"/>
          <w:marRight w:val="0"/>
          <w:marTop w:val="0"/>
          <w:marBottom w:val="0"/>
          <w:divBdr>
            <w:top w:val="none" w:sz="0" w:space="0" w:color="auto"/>
            <w:left w:val="none" w:sz="0" w:space="0" w:color="auto"/>
            <w:bottom w:val="none" w:sz="0" w:space="0" w:color="auto"/>
            <w:right w:val="none" w:sz="0" w:space="0" w:color="auto"/>
          </w:divBdr>
        </w:div>
        <w:div w:id="804346970">
          <w:marLeft w:val="0"/>
          <w:marRight w:val="0"/>
          <w:marTop w:val="0"/>
          <w:marBottom w:val="0"/>
          <w:divBdr>
            <w:top w:val="none" w:sz="0" w:space="0" w:color="auto"/>
            <w:left w:val="none" w:sz="0" w:space="0" w:color="auto"/>
            <w:bottom w:val="none" w:sz="0" w:space="0" w:color="auto"/>
            <w:right w:val="none" w:sz="0" w:space="0" w:color="auto"/>
          </w:divBdr>
        </w:div>
        <w:div w:id="112987823">
          <w:marLeft w:val="0"/>
          <w:marRight w:val="0"/>
          <w:marTop w:val="0"/>
          <w:marBottom w:val="0"/>
          <w:divBdr>
            <w:top w:val="none" w:sz="0" w:space="0" w:color="auto"/>
            <w:left w:val="none" w:sz="0" w:space="0" w:color="auto"/>
            <w:bottom w:val="none" w:sz="0" w:space="0" w:color="auto"/>
            <w:right w:val="none" w:sz="0" w:space="0" w:color="auto"/>
          </w:divBdr>
        </w:div>
        <w:div w:id="1764103007">
          <w:marLeft w:val="0"/>
          <w:marRight w:val="0"/>
          <w:marTop w:val="0"/>
          <w:marBottom w:val="0"/>
          <w:divBdr>
            <w:top w:val="none" w:sz="0" w:space="0" w:color="auto"/>
            <w:left w:val="none" w:sz="0" w:space="0" w:color="auto"/>
            <w:bottom w:val="none" w:sz="0" w:space="0" w:color="auto"/>
            <w:right w:val="none" w:sz="0" w:space="0" w:color="auto"/>
          </w:divBdr>
        </w:div>
        <w:div w:id="506600732">
          <w:marLeft w:val="0"/>
          <w:marRight w:val="0"/>
          <w:marTop w:val="0"/>
          <w:marBottom w:val="0"/>
          <w:divBdr>
            <w:top w:val="none" w:sz="0" w:space="0" w:color="auto"/>
            <w:left w:val="none" w:sz="0" w:space="0" w:color="auto"/>
            <w:bottom w:val="none" w:sz="0" w:space="0" w:color="auto"/>
            <w:right w:val="none" w:sz="0" w:space="0" w:color="auto"/>
          </w:divBdr>
        </w:div>
        <w:div w:id="957495197">
          <w:marLeft w:val="0"/>
          <w:marRight w:val="0"/>
          <w:marTop w:val="0"/>
          <w:marBottom w:val="0"/>
          <w:divBdr>
            <w:top w:val="none" w:sz="0" w:space="0" w:color="auto"/>
            <w:left w:val="none" w:sz="0" w:space="0" w:color="auto"/>
            <w:bottom w:val="none" w:sz="0" w:space="0" w:color="auto"/>
            <w:right w:val="none" w:sz="0" w:space="0" w:color="auto"/>
          </w:divBdr>
        </w:div>
        <w:div w:id="137496237">
          <w:marLeft w:val="0"/>
          <w:marRight w:val="0"/>
          <w:marTop w:val="0"/>
          <w:marBottom w:val="0"/>
          <w:divBdr>
            <w:top w:val="none" w:sz="0" w:space="0" w:color="auto"/>
            <w:left w:val="none" w:sz="0" w:space="0" w:color="auto"/>
            <w:bottom w:val="none" w:sz="0" w:space="0" w:color="auto"/>
            <w:right w:val="none" w:sz="0" w:space="0" w:color="auto"/>
          </w:divBdr>
        </w:div>
        <w:div w:id="817456881">
          <w:marLeft w:val="0"/>
          <w:marRight w:val="0"/>
          <w:marTop w:val="0"/>
          <w:marBottom w:val="0"/>
          <w:divBdr>
            <w:top w:val="none" w:sz="0" w:space="0" w:color="auto"/>
            <w:left w:val="none" w:sz="0" w:space="0" w:color="auto"/>
            <w:bottom w:val="none" w:sz="0" w:space="0" w:color="auto"/>
            <w:right w:val="none" w:sz="0" w:space="0" w:color="auto"/>
          </w:divBdr>
        </w:div>
        <w:div w:id="1584219099">
          <w:marLeft w:val="0"/>
          <w:marRight w:val="0"/>
          <w:marTop w:val="0"/>
          <w:marBottom w:val="0"/>
          <w:divBdr>
            <w:top w:val="none" w:sz="0" w:space="0" w:color="auto"/>
            <w:left w:val="none" w:sz="0" w:space="0" w:color="auto"/>
            <w:bottom w:val="none" w:sz="0" w:space="0" w:color="auto"/>
            <w:right w:val="none" w:sz="0" w:space="0" w:color="auto"/>
          </w:divBdr>
        </w:div>
        <w:div w:id="1204097352">
          <w:marLeft w:val="0"/>
          <w:marRight w:val="0"/>
          <w:marTop w:val="0"/>
          <w:marBottom w:val="0"/>
          <w:divBdr>
            <w:top w:val="none" w:sz="0" w:space="0" w:color="auto"/>
            <w:left w:val="none" w:sz="0" w:space="0" w:color="auto"/>
            <w:bottom w:val="none" w:sz="0" w:space="0" w:color="auto"/>
            <w:right w:val="none" w:sz="0" w:space="0" w:color="auto"/>
          </w:divBdr>
        </w:div>
        <w:div w:id="214246733">
          <w:marLeft w:val="0"/>
          <w:marRight w:val="0"/>
          <w:marTop w:val="0"/>
          <w:marBottom w:val="0"/>
          <w:divBdr>
            <w:top w:val="none" w:sz="0" w:space="0" w:color="auto"/>
            <w:left w:val="none" w:sz="0" w:space="0" w:color="auto"/>
            <w:bottom w:val="none" w:sz="0" w:space="0" w:color="auto"/>
            <w:right w:val="none" w:sz="0" w:space="0" w:color="auto"/>
          </w:divBdr>
        </w:div>
        <w:div w:id="525798450">
          <w:marLeft w:val="0"/>
          <w:marRight w:val="0"/>
          <w:marTop w:val="0"/>
          <w:marBottom w:val="0"/>
          <w:divBdr>
            <w:top w:val="none" w:sz="0" w:space="0" w:color="auto"/>
            <w:left w:val="none" w:sz="0" w:space="0" w:color="auto"/>
            <w:bottom w:val="none" w:sz="0" w:space="0" w:color="auto"/>
            <w:right w:val="none" w:sz="0" w:space="0" w:color="auto"/>
          </w:divBdr>
        </w:div>
        <w:div w:id="1384210151">
          <w:marLeft w:val="0"/>
          <w:marRight w:val="0"/>
          <w:marTop w:val="0"/>
          <w:marBottom w:val="0"/>
          <w:divBdr>
            <w:top w:val="none" w:sz="0" w:space="0" w:color="auto"/>
            <w:left w:val="none" w:sz="0" w:space="0" w:color="auto"/>
            <w:bottom w:val="none" w:sz="0" w:space="0" w:color="auto"/>
            <w:right w:val="none" w:sz="0" w:space="0" w:color="auto"/>
          </w:divBdr>
        </w:div>
        <w:div w:id="1926650537">
          <w:marLeft w:val="0"/>
          <w:marRight w:val="0"/>
          <w:marTop w:val="0"/>
          <w:marBottom w:val="0"/>
          <w:divBdr>
            <w:top w:val="none" w:sz="0" w:space="0" w:color="auto"/>
            <w:left w:val="none" w:sz="0" w:space="0" w:color="auto"/>
            <w:bottom w:val="none" w:sz="0" w:space="0" w:color="auto"/>
            <w:right w:val="none" w:sz="0" w:space="0" w:color="auto"/>
          </w:divBdr>
        </w:div>
        <w:div w:id="719521277">
          <w:marLeft w:val="0"/>
          <w:marRight w:val="0"/>
          <w:marTop w:val="0"/>
          <w:marBottom w:val="0"/>
          <w:divBdr>
            <w:top w:val="none" w:sz="0" w:space="0" w:color="auto"/>
            <w:left w:val="none" w:sz="0" w:space="0" w:color="auto"/>
            <w:bottom w:val="none" w:sz="0" w:space="0" w:color="auto"/>
            <w:right w:val="none" w:sz="0" w:space="0" w:color="auto"/>
          </w:divBdr>
        </w:div>
        <w:div w:id="886452679">
          <w:marLeft w:val="0"/>
          <w:marRight w:val="0"/>
          <w:marTop w:val="0"/>
          <w:marBottom w:val="0"/>
          <w:divBdr>
            <w:top w:val="none" w:sz="0" w:space="0" w:color="auto"/>
            <w:left w:val="none" w:sz="0" w:space="0" w:color="auto"/>
            <w:bottom w:val="none" w:sz="0" w:space="0" w:color="auto"/>
            <w:right w:val="none" w:sz="0" w:space="0" w:color="auto"/>
          </w:divBdr>
        </w:div>
        <w:div w:id="1023289789">
          <w:marLeft w:val="0"/>
          <w:marRight w:val="0"/>
          <w:marTop w:val="0"/>
          <w:marBottom w:val="0"/>
          <w:divBdr>
            <w:top w:val="none" w:sz="0" w:space="0" w:color="auto"/>
            <w:left w:val="none" w:sz="0" w:space="0" w:color="auto"/>
            <w:bottom w:val="none" w:sz="0" w:space="0" w:color="auto"/>
            <w:right w:val="none" w:sz="0" w:space="0" w:color="auto"/>
          </w:divBdr>
        </w:div>
        <w:div w:id="982154478">
          <w:marLeft w:val="0"/>
          <w:marRight w:val="0"/>
          <w:marTop w:val="0"/>
          <w:marBottom w:val="0"/>
          <w:divBdr>
            <w:top w:val="none" w:sz="0" w:space="0" w:color="auto"/>
            <w:left w:val="none" w:sz="0" w:space="0" w:color="auto"/>
            <w:bottom w:val="none" w:sz="0" w:space="0" w:color="auto"/>
            <w:right w:val="none" w:sz="0" w:space="0" w:color="auto"/>
          </w:divBdr>
        </w:div>
        <w:div w:id="1723750432">
          <w:marLeft w:val="0"/>
          <w:marRight w:val="0"/>
          <w:marTop w:val="0"/>
          <w:marBottom w:val="0"/>
          <w:divBdr>
            <w:top w:val="none" w:sz="0" w:space="0" w:color="auto"/>
            <w:left w:val="none" w:sz="0" w:space="0" w:color="auto"/>
            <w:bottom w:val="none" w:sz="0" w:space="0" w:color="auto"/>
            <w:right w:val="none" w:sz="0" w:space="0" w:color="auto"/>
          </w:divBdr>
        </w:div>
        <w:div w:id="1682851385">
          <w:marLeft w:val="0"/>
          <w:marRight w:val="0"/>
          <w:marTop w:val="0"/>
          <w:marBottom w:val="0"/>
          <w:divBdr>
            <w:top w:val="none" w:sz="0" w:space="0" w:color="auto"/>
            <w:left w:val="none" w:sz="0" w:space="0" w:color="auto"/>
            <w:bottom w:val="none" w:sz="0" w:space="0" w:color="auto"/>
            <w:right w:val="none" w:sz="0" w:space="0" w:color="auto"/>
          </w:divBdr>
        </w:div>
        <w:div w:id="62068703">
          <w:marLeft w:val="0"/>
          <w:marRight w:val="0"/>
          <w:marTop w:val="0"/>
          <w:marBottom w:val="0"/>
          <w:divBdr>
            <w:top w:val="none" w:sz="0" w:space="0" w:color="auto"/>
            <w:left w:val="none" w:sz="0" w:space="0" w:color="auto"/>
            <w:bottom w:val="none" w:sz="0" w:space="0" w:color="auto"/>
            <w:right w:val="none" w:sz="0" w:space="0" w:color="auto"/>
          </w:divBdr>
        </w:div>
        <w:div w:id="1602034055">
          <w:marLeft w:val="0"/>
          <w:marRight w:val="0"/>
          <w:marTop w:val="0"/>
          <w:marBottom w:val="0"/>
          <w:divBdr>
            <w:top w:val="none" w:sz="0" w:space="0" w:color="auto"/>
            <w:left w:val="none" w:sz="0" w:space="0" w:color="auto"/>
            <w:bottom w:val="none" w:sz="0" w:space="0" w:color="auto"/>
            <w:right w:val="none" w:sz="0" w:space="0" w:color="auto"/>
          </w:divBdr>
        </w:div>
        <w:div w:id="1591742544">
          <w:marLeft w:val="0"/>
          <w:marRight w:val="0"/>
          <w:marTop w:val="0"/>
          <w:marBottom w:val="0"/>
          <w:divBdr>
            <w:top w:val="none" w:sz="0" w:space="0" w:color="auto"/>
            <w:left w:val="none" w:sz="0" w:space="0" w:color="auto"/>
            <w:bottom w:val="none" w:sz="0" w:space="0" w:color="auto"/>
            <w:right w:val="none" w:sz="0" w:space="0" w:color="auto"/>
          </w:divBdr>
        </w:div>
        <w:div w:id="1661035644">
          <w:marLeft w:val="0"/>
          <w:marRight w:val="0"/>
          <w:marTop w:val="0"/>
          <w:marBottom w:val="0"/>
          <w:divBdr>
            <w:top w:val="none" w:sz="0" w:space="0" w:color="auto"/>
            <w:left w:val="none" w:sz="0" w:space="0" w:color="auto"/>
            <w:bottom w:val="none" w:sz="0" w:space="0" w:color="auto"/>
            <w:right w:val="none" w:sz="0" w:space="0" w:color="auto"/>
          </w:divBdr>
        </w:div>
        <w:div w:id="137577553">
          <w:marLeft w:val="0"/>
          <w:marRight w:val="0"/>
          <w:marTop w:val="0"/>
          <w:marBottom w:val="0"/>
          <w:divBdr>
            <w:top w:val="none" w:sz="0" w:space="0" w:color="auto"/>
            <w:left w:val="none" w:sz="0" w:space="0" w:color="auto"/>
            <w:bottom w:val="none" w:sz="0" w:space="0" w:color="auto"/>
            <w:right w:val="none" w:sz="0" w:space="0" w:color="auto"/>
          </w:divBdr>
        </w:div>
        <w:div w:id="1695224190">
          <w:marLeft w:val="0"/>
          <w:marRight w:val="0"/>
          <w:marTop w:val="0"/>
          <w:marBottom w:val="0"/>
          <w:divBdr>
            <w:top w:val="none" w:sz="0" w:space="0" w:color="auto"/>
            <w:left w:val="none" w:sz="0" w:space="0" w:color="auto"/>
            <w:bottom w:val="none" w:sz="0" w:space="0" w:color="auto"/>
            <w:right w:val="none" w:sz="0" w:space="0" w:color="auto"/>
          </w:divBdr>
        </w:div>
        <w:div w:id="232617600">
          <w:marLeft w:val="0"/>
          <w:marRight w:val="0"/>
          <w:marTop w:val="0"/>
          <w:marBottom w:val="0"/>
          <w:divBdr>
            <w:top w:val="none" w:sz="0" w:space="0" w:color="auto"/>
            <w:left w:val="none" w:sz="0" w:space="0" w:color="auto"/>
            <w:bottom w:val="none" w:sz="0" w:space="0" w:color="auto"/>
            <w:right w:val="none" w:sz="0" w:space="0" w:color="auto"/>
          </w:divBdr>
        </w:div>
        <w:div w:id="808322402">
          <w:marLeft w:val="0"/>
          <w:marRight w:val="0"/>
          <w:marTop w:val="0"/>
          <w:marBottom w:val="0"/>
          <w:divBdr>
            <w:top w:val="none" w:sz="0" w:space="0" w:color="auto"/>
            <w:left w:val="none" w:sz="0" w:space="0" w:color="auto"/>
            <w:bottom w:val="none" w:sz="0" w:space="0" w:color="auto"/>
            <w:right w:val="none" w:sz="0" w:space="0" w:color="auto"/>
          </w:divBdr>
        </w:div>
        <w:div w:id="329719629">
          <w:marLeft w:val="0"/>
          <w:marRight w:val="0"/>
          <w:marTop w:val="0"/>
          <w:marBottom w:val="0"/>
          <w:divBdr>
            <w:top w:val="none" w:sz="0" w:space="0" w:color="auto"/>
            <w:left w:val="none" w:sz="0" w:space="0" w:color="auto"/>
            <w:bottom w:val="none" w:sz="0" w:space="0" w:color="auto"/>
            <w:right w:val="none" w:sz="0" w:space="0" w:color="auto"/>
          </w:divBdr>
        </w:div>
        <w:div w:id="1783958280">
          <w:marLeft w:val="0"/>
          <w:marRight w:val="0"/>
          <w:marTop w:val="0"/>
          <w:marBottom w:val="0"/>
          <w:divBdr>
            <w:top w:val="none" w:sz="0" w:space="0" w:color="auto"/>
            <w:left w:val="none" w:sz="0" w:space="0" w:color="auto"/>
            <w:bottom w:val="none" w:sz="0" w:space="0" w:color="auto"/>
            <w:right w:val="none" w:sz="0" w:space="0" w:color="auto"/>
          </w:divBdr>
        </w:div>
        <w:div w:id="1108040544">
          <w:marLeft w:val="0"/>
          <w:marRight w:val="0"/>
          <w:marTop w:val="0"/>
          <w:marBottom w:val="0"/>
          <w:divBdr>
            <w:top w:val="none" w:sz="0" w:space="0" w:color="auto"/>
            <w:left w:val="none" w:sz="0" w:space="0" w:color="auto"/>
            <w:bottom w:val="none" w:sz="0" w:space="0" w:color="auto"/>
            <w:right w:val="none" w:sz="0" w:space="0" w:color="auto"/>
          </w:divBdr>
        </w:div>
        <w:div w:id="33039068">
          <w:marLeft w:val="0"/>
          <w:marRight w:val="0"/>
          <w:marTop w:val="0"/>
          <w:marBottom w:val="0"/>
          <w:divBdr>
            <w:top w:val="none" w:sz="0" w:space="0" w:color="auto"/>
            <w:left w:val="none" w:sz="0" w:space="0" w:color="auto"/>
            <w:bottom w:val="none" w:sz="0" w:space="0" w:color="auto"/>
            <w:right w:val="none" w:sz="0" w:space="0" w:color="auto"/>
          </w:divBdr>
        </w:div>
        <w:div w:id="1746218524">
          <w:marLeft w:val="0"/>
          <w:marRight w:val="0"/>
          <w:marTop w:val="0"/>
          <w:marBottom w:val="0"/>
          <w:divBdr>
            <w:top w:val="none" w:sz="0" w:space="0" w:color="auto"/>
            <w:left w:val="none" w:sz="0" w:space="0" w:color="auto"/>
            <w:bottom w:val="none" w:sz="0" w:space="0" w:color="auto"/>
            <w:right w:val="none" w:sz="0" w:space="0" w:color="auto"/>
          </w:divBdr>
        </w:div>
        <w:div w:id="1937591250">
          <w:marLeft w:val="0"/>
          <w:marRight w:val="0"/>
          <w:marTop w:val="0"/>
          <w:marBottom w:val="0"/>
          <w:divBdr>
            <w:top w:val="none" w:sz="0" w:space="0" w:color="auto"/>
            <w:left w:val="none" w:sz="0" w:space="0" w:color="auto"/>
            <w:bottom w:val="none" w:sz="0" w:space="0" w:color="auto"/>
            <w:right w:val="none" w:sz="0" w:space="0" w:color="auto"/>
          </w:divBdr>
        </w:div>
        <w:div w:id="1597785079">
          <w:marLeft w:val="0"/>
          <w:marRight w:val="0"/>
          <w:marTop w:val="0"/>
          <w:marBottom w:val="0"/>
          <w:divBdr>
            <w:top w:val="none" w:sz="0" w:space="0" w:color="auto"/>
            <w:left w:val="none" w:sz="0" w:space="0" w:color="auto"/>
            <w:bottom w:val="none" w:sz="0" w:space="0" w:color="auto"/>
            <w:right w:val="none" w:sz="0" w:space="0" w:color="auto"/>
          </w:divBdr>
        </w:div>
        <w:div w:id="19940957">
          <w:marLeft w:val="0"/>
          <w:marRight w:val="0"/>
          <w:marTop w:val="0"/>
          <w:marBottom w:val="0"/>
          <w:divBdr>
            <w:top w:val="none" w:sz="0" w:space="0" w:color="auto"/>
            <w:left w:val="none" w:sz="0" w:space="0" w:color="auto"/>
            <w:bottom w:val="none" w:sz="0" w:space="0" w:color="auto"/>
            <w:right w:val="none" w:sz="0" w:space="0" w:color="auto"/>
          </w:divBdr>
        </w:div>
        <w:div w:id="2128574596">
          <w:marLeft w:val="0"/>
          <w:marRight w:val="0"/>
          <w:marTop w:val="0"/>
          <w:marBottom w:val="0"/>
          <w:divBdr>
            <w:top w:val="none" w:sz="0" w:space="0" w:color="auto"/>
            <w:left w:val="none" w:sz="0" w:space="0" w:color="auto"/>
            <w:bottom w:val="none" w:sz="0" w:space="0" w:color="auto"/>
            <w:right w:val="none" w:sz="0" w:space="0" w:color="auto"/>
          </w:divBdr>
        </w:div>
        <w:div w:id="234634078">
          <w:marLeft w:val="0"/>
          <w:marRight w:val="0"/>
          <w:marTop w:val="0"/>
          <w:marBottom w:val="0"/>
          <w:divBdr>
            <w:top w:val="none" w:sz="0" w:space="0" w:color="auto"/>
            <w:left w:val="none" w:sz="0" w:space="0" w:color="auto"/>
            <w:bottom w:val="none" w:sz="0" w:space="0" w:color="auto"/>
            <w:right w:val="none" w:sz="0" w:space="0" w:color="auto"/>
          </w:divBdr>
        </w:div>
        <w:div w:id="471099205">
          <w:marLeft w:val="0"/>
          <w:marRight w:val="0"/>
          <w:marTop w:val="0"/>
          <w:marBottom w:val="0"/>
          <w:divBdr>
            <w:top w:val="none" w:sz="0" w:space="0" w:color="auto"/>
            <w:left w:val="none" w:sz="0" w:space="0" w:color="auto"/>
            <w:bottom w:val="none" w:sz="0" w:space="0" w:color="auto"/>
            <w:right w:val="none" w:sz="0" w:space="0" w:color="auto"/>
          </w:divBdr>
        </w:div>
        <w:div w:id="1999964219">
          <w:marLeft w:val="0"/>
          <w:marRight w:val="0"/>
          <w:marTop w:val="0"/>
          <w:marBottom w:val="0"/>
          <w:divBdr>
            <w:top w:val="none" w:sz="0" w:space="0" w:color="auto"/>
            <w:left w:val="none" w:sz="0" w:space="0" w:color="auto"/>
            <w:bottom w:val="none" w:sz="0" w:space="0" w:color="auto"/>
            <w:right w:val="none" w:sz="0" w:space="0" w:color="auto"/>
          </w:divBdr>
        </w:div>
        <w:div w:id="967276097">
          <w:marLeft w:val="0"/>
          <w:marRight w:val="0"/>
          <w:marTop w:val="0"/>
          <w:marBottom w:val="0"/>
          <w:divBdr>
            <w:top w:val="none" w:sz="0" w:space="0" w:color="auto"/>
            <w:left w:val="none" w:sz="0" w:space="0" w:color="auto"/>
            <w:bottom w:val="none" w:sz="0" w:space="0" w:color="auto"/>
            <w:right w:val="none" w:sz="0" w:space="0" w:color="auto"/>
          </w:divBdr>
        </w:div>
        <w:div w:id="1035929658">
          <w:marLeft w:val="0"/>
          <w:marRight w:val="0"/>
          <w:marTop w:val="0"/>
          <w:marBottom w:val="0"/>
          <w:divBdr>
            <w:top w:val="none" w:sz="0" w:space="0" w:color="auto"/>
            <w:left w:val="none" w:sz="0" w:space="0" w:color="auto"/>
            <w:bottom w:val="none" w:sz="0" w:space="0" w:color="auto"/>
            <w:right w:val="none" w:sz="0" w:space="0" w:color="auto"/>
          </w:divBdr>
        </w:div>
        <w:div w:id="538855156">
          <w:marLeft w:val="0"/>
          <w:marRight w:val="0"/>
          <w:marTop w:val="0"/>
          <w:marBottom w:val="0"/>
          <w:divBdr>
            <w:top w:val="none" w:sz="0" w:space="0" w:color="auto"/>
            <w:left w:val="none" w:sz="0" w:space="0" w:color="auto"/>
            <w:bottom w:val="none" w:sz="0" w:space="0" w:color="auto"/>
            <w:right w:val="none" w:sz="0" w:space="0" w:color="auto"/>
          </w:divBdr>
        </w:div>
        <w:div w:id="253974100">
          <w:marLeft w:val="0"/>
          <w:marRight w:val="0"/>
          <w:marTop w:val="0"/>
          <w:marBottom w:val="0"/>
          <w:divBdr>
            <w:top w:val="none" w:sz="0" w:space="0" w:color="auto"/>
            <w:left w:val="none" w:sz="0" w:space="0" w:color="auto"/>
            <w:bottom w:val="none" w:sz="0" w:space="0" w:color="auto"/>
            <w:right w:val="none" w:sz="0" w:space="0" w:color="auto"/>
          </w:divBdr>
        </w:div>
        <w:div w:id="11955913">
          <w:marLeft w:val="0"/>
          <w:marRight w:val="0"/>
          <w:marTop w:val="0"/>
          <w:marBottom w:val="0"/>
          <w:divBdr>
            <w:top w:val="none" w:sz="0" w:space="0" w:color="auto"/>
            <w:left w:val="none" w:sz="0" w:space="0" w:color="auto"/>
            <w:bottom w:val="none" w:sz="0" w:space="0" w:color="auto"/>
            <w:right w:val="none" w:sz="0" w:space="0" w:color="auto"/>
          </w:divBdr>
        </w:div>
      </w:divsChild>
    </w:div>
    <w:div w:id="1033657240">
      <w:bodyDiv w:val="1"/>
      <w:marLeft w:val="0"/>
      <w:marRight w:val="0"/>
      <w:marTop w:val="0"/>
      <w:marBottom w:val="0"/>
      <w:divBdr>
        <w:top w:val="none" w:sz="0" w:space="0" w:color="auto"/>
        <w:left w:val="none" w:sz="0" w:space="0" w:color="auto"/>
        <w:bottom w:val="none" w:sz="0" w:space="0" w:color="auto"/>
        <w:right w:val="none" w:sz="0" w:space="0" w:color="auto"/>
      </w:divBdr>
    </w:div>
    <w:div w:id="1061094525">
      <w:bodyDiv w:val="1"/>
      <w:marLeft w:val="0"/>
      <w:marRight w:val="0"/>
      <w:marTop w:val="0"/>
      <w:marBottom w:val="0"/>
      <w:divBdr>
        <w:top w:val="none" w:sz="0" w:space="0" w:color="auto"/>
        <w:left w:val="none" w:sz="0" w:space="0" w:color="auto"/>
        <w:bottom w:val="none" w:sz="0" w:space="0" w:color="auto"/>
        <w:right w:val="none" w:sz="0" w:space="0" w:color="auto"/>
      </w:divBdr>
    </w:div>
    <w:div w:id="1258909026">
      <w:bodyDiv w:val="1"/>
      <w:marLeft w:val="0"/>
      <w:marRight w:val="0"/>
      <w:marTop w:val="0"/>
      <w:marBottom w:val="0"/>
      <w:divBdr>
        <w:top w:val="none" w:sz="0" w:space="0" w:color="auto"/>
        <w:left w:val="none" w:sz="0" w:space="0" w:color="auto"/>
        <w:bottom w:val="none" w:sz="0" w:space="0" w:color="auto"/>
        <w:right w:val="none" w:sz="0" w:space="0" w:color="auto"/>
      </w:divBdr>
    </w:div>
    <w:div w:id="1290010838">
      <w:bodyDiv w:val="1"/>
      <w:marLeft w:val="0"/>
      <w:marRight w:val="0"/>
      <w:marTop w:val="0"/>
      <w:marBottom w:val="0"/>
      <w:divBdr>
        <w:top w:val="none" w:sz="0" w:space="0" w:color="auto"/>
        <w:left w:val="none" w:sz="0" w:space="0" w:color="auto"/>
        <w:bottom w:val="none" w:sz="0" w:space="0" w:color="auto"/>
        <w:right w:val="none" w:sz="0" w:space="0" w:color="auto"/>
      </w:divBdr>
    </w:div>
    <w:div w:id="1293707568">
      <w:bodyDiv w:val="1"/>
      <w:marLeft w:val="0"/>
      <w:marRight w:val="0"/>
      <w:marTop w:val="0"/>
      <w:marBottom w:val="0"/>
      <w:divBdr>
        <w:top w:val="none" w:sz="0" w:space="0" w:color="auto"/>
        <w:left w:val="none" w:sz="0" w:space="0" w:color="auto"/>
        <w:bottom w:val="none" w:sz="0" w:space="0" w:color="auto"/>
        <w:right w:val="none" w:sz="0" w:space="0" w:color="auto"/>
      </w:divBdr>
    </w:div>
    <w:div w:id="1368917272">
      <w:bodyDiv w:val="1"/>
      <w:marLeft w:val="0"/>
      <w:marRight w:val="0"/>
      <w:marTop w:val="0"/>
      <w:marBottom w:val="0"/>
      <w:divBdr>
        <w:top w:val="none" w:sz="0" w:space="0" w:color="auto"/>
        <w:left w:val="none" w:sz="0" w:space="0" w:color="auto"/>
        <w:bottom w:val="none" w:sz="0" w:space="0" w:color="auto"/>
        <w:right w:val="none" w:sz="0" w:space="0" w:color="auto"/>
      </w:divBdr>
    </w:div>
    <w:div w:id="1658024569">
      <w:bodyDiv w:val="1"/>
      <w:marLeft w:val="0"/>
      <w:marRight w:val="0"/>
      <w:marTop w:val="0"/>
      <w:marBottom w:val="0"/>
      <w:divBdr>
        <w:top w:val="none" w:sz="0" w:space="0" w:color="auto"/>
        <w:left w:val="none" w:sz="0" w:space="0" w:color="auto"/>
        <w:bottom w:val="none" w:sz="0" w:space="0" w:color="auto"/>
        <w:right w:val="none" w:sz="0" w:space="0" w:color="auto"/>
      </w:divBdr>
    </w:div>
    <w:div w:id="1709331737">
      <w:bodyDiv w:val="1"/>
      <w:marLeft w:val="0"/>
      <w:marRight w:val="0"/>
      <w:marTop w:val="0"/>
      <w:marBottom w:val="0"/>
      <w:divBdr>
        <w:top w:val="none" w:sz="0" w:space="0" w:color="auto"/>
        <w:left w:val="none" w:sz="0" w:space="0" w:color="auto"/>
        <w:bottom w:val="none" w:sz="0" w:space="0" w:color="auto"/>
        <w:right w:val="none" w:sz="0" w:space="0" w:color="auto"/>
      </w:divBdr>
      <w:divsChild>
        <w:div w:id="2102142463">
          <w:marLeft w:val="0"/>
          <w:marRight w:val="0"/>
          <w:marTop w:val="0"/>
          <w:marBottom w:val="0"/>
          <w:divBdr>
            <w:top w:val="none" w:sz="0" w:space="0" w:color="auto"/>
            <w:left w:val="none" w:sz="0" w:space="0" w:color="auto"/>
            <w:bottom w:val="none" w:sz="0" w:space="0" w:color="auto"/>
            <w:right w:val="none" w:sz="0" w:space="0" w:color="auto"/>
          </w:divBdr>
          <w:divsChild>
            <w:div w:id="1212033100">
              <w:marLeft w:val="0"/>
              <w:marRight w:val="0"/>
              <w:marTop w:val="0"/>
              <w:marBottom w:val="0"/>
              <w:divBdr>
                <w:top w:val="none" w:sz="0" w:space="0" w:color="auto"/>
                <w:left w:val="none" w:sz="0" w:space="0" w:color="auto"/>
                <w:bottom w:val="none" w:sz="0" w:space="0" w:color="auto"/>
                <w:right w:val="none" w:sz="0" w:space="0" w:color="auto"/>
              </w:divBdr>
              <w:divsChild>
                <w:div w:id="1206798636">
                  <w:marLeft w:val="0"/>
                  <w:marRight w:val="0"/>
                  <w:marTop w:val="0"/>
                  <w:marBottom w:val="0"/>
                  <w:divBdr>
                    <w:top w:val="none" w:sz="0" w:space="0" w:color="auto"/>
                    <w:left w:val="none" w:sz="0" w:space="0" w:color="auto"/>
                    <w:bottom w:val="none" w:sz="0" w:space="0" w:color="auto"/>
                    <w:right w:val="none" w:sz="0" w:space="0" w:color="auto"/>
                  </w:divBdr>
                  <w:divsChild>
                    <w:div w:id="1129006006">
                      <w:marLeft w:val="0"/>
                      <w:marRight w:val="0"/>
                      <w:marTop w:val="0"/>
                      <w:marBottom w:val="0"/>
                      <w:divBdr>
                        <w:top w:val="none" w:sz="0" w:space="0" w:color="auto"/>
                        <w:left w:val="none" w:sz="0" w:space="0" w:color="auto"/>
                        <w:bottom w:val="none" w:sz="0" w:space="0" w:color="auto"/>
                        <w:right w:val="none" w:sz="0" w:space="0" w:color="auto"/>
                      </w:divBdr>
                      <w:divsChild>
                        <w:div w:id="1715429044">
                          <w:marLeft w:val="0"/>
                          <w:marRight w:val="0"/>
                          <w:marTop w:val="0"/>
                          <w:marBottom w:val="0"/>
                          <w:divBdr>
                            <w:top w:val="none" w:sz="0" w:space="0" w:color="auto"/>
                            <w:left w:val="none" w:sz="0" w:space="0" w:color="auto"/>
                            <w:bottom w:val="none" w:sz="0" w:space="0" w:color="auto"/>
                            <w:right w:val="none" w:sz="0" w:space="0" w:color="auto"/>
                          </w:divBdr>
                        </w:div>
                        <w:div w:id="1133985587">
                          <w:marLeft w:val="0"/>
                          <w:marRight w:val="0"/>
                          <w:marTop w:val="0"/>
                          <w:marBottom w:val="0"/>
                          <w:divBdr>
                            <w:top w:val="none" w:sz="0" w:space="0" w:color="auto"/>
                            <w:left w:val="none" w:sz="0" w:space="0" w:color="auto"/>
                            <w:bottom w:val="none" w:sz="0" w:space="0" w:color="auto"/>
                            <w:right w:val="none" w:sz="0" w:space="0" w:color="auto"/>
                          </w:divBdr>
                        </w:div>
                        <w:div w:id="47653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80115">
          <w:marLeft w:val="0"/>
          <w:marRight w:val="0"/>
          <w:marTop w:val="0"/>
          <w:marBottom w:val="0"/>
          <w:divBdr>
            <w:top w:val="none" w:sz="0" w:space="0" w:color="auto"/>
            <w:left w:val="none" w:sz="0" w:space="0" w:color="auto"/>
            <w:bottom w:val="none" w:sz="0" w:space="0" w:color="auto"/>
            <w:right w:val="none" w:sz="0" w:space="0" w:color="auto"/>
          </w:divBdr>
          <w:divsChild>
            <w:div w:id="691951470">
              <w:marLeft w:val="0"/>
              <w:marRight w:val="0"/>
              <w:marTop w:val="0"/>
              <w:marBottom w:val="0"/>
              <w:divBdr>
                <w:top w:val="none" w:sz="0" w:space="0" w:color="auto"/>
                <w:left w:val="none" w:sz="0" w:space="0" w:color="auto"/>
                <w:bottom w:val="none" w:sz="0" w:space="0" w:color="auto"/>
                <w:right w:val="none" w:sz="0" w:space="0" w:color="auto"/>
              </w:divBdr>
              <w:divsChild>
                <w:div w:id="1900172045">
                  <w:marLeft w:val="0"/>
                  <w:marRight w:val="0"/>
                  <w:marTop w:val="0"/>
                  <w:marBottom w:val="0"/>
                  <w:divBdr>
                    <w:top w:val="none" w:sz="0" w:space="0" w:color="auto"/>
                    <w:left w:val="none" w:sz="0" w:space="0" w:color="auto"/>
                    <w:bottom w:val="none" w:sz="0" w:space="0" w:color="auto"/>
                    <w:right w:val="none" w:sz="0" w:space="0" w:color="auto"/>
                  </w:divBdr>
                  <w:divsChild>
                    <w:div w:id="1923640037">
                      <w:marLeft w:val="0"/>
                      <w:marRight w:val="0"/>
                      <w:marTop w:val="0"/>
                      <w:marBottom w:val="0"/>
                      <w:divBdr>
                        <w:top w:val="none" w:sz="0" w:space="0" w:color="auto"/>
                        <w:left w:val="none" w:sz="0" w:space="0" w:color="auto"/>
                        <w:bottom w:val="none" w:sz="0" w:space="0" w:color="auto"/>
                        <w:right w:val="none" w:sz="0" w:space="0" w:color="auto"/>
                      </w:divBdr>
                      <w:divsChild>
                        <w:div w:id="129194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685854">
      <w:bodyDiv w:val="1"/>
      <w:marLeft w:val="0"/>
      <w:marRight w:val="0"/>
      <w:marTop w:val="0"/>
      <w:marBottom w:val="0"/>
      <w:divBdr>
        <w:top w:val="none" w:sz="0" w:space="0" w:color="auto"/>
        <w:left w:val="none" w:sz="0" w:space="0" w:color="auto"/>
        <w:bottom w:val="none" w:sz="0" w:space="0" w:color="auto"/>
        <w:right w:val="none" w:sz="0" w:space="0" w:color="auto"/>
      </w:divBdr>
    </w:div>
    <w:div w:id="204166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pinheiros.org.br/blog/o-milenio-de-apocalipse-20-parte-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studosadventistas.com.br/questoes-basicas-sobre-o-milenio/" TargetMode="External"/><Relationship Id="rId12" Type="http://schemas.openxmlformats.org/officeDocument/2006/relationships/hyperlink" Target="http://www.amilenismo.com/2010/07/capitulo-iii-os-pais-e-o-milenio.htm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ppinheiros.org.br/blog/o-milenio-de-apocalipse-20-parte-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oltemosaoevangelho.com/blog/2017/07/doutrina-reformada-da-autoridade-das-escritura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ppinheiros.org.br/" TargetMode="Externa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1291</TotalTime>
  <Pages>11</Pages>
  <Words>6907</Words>
  <Characters>37298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EDIMAR</dc:creator>
  <cp:keywords/>
  <dc:description/>
  <cp:lastModifiedBy>Dell</cp:lastModifiedBy>
  <cp:revision>107</cp:revision>
  <dcterms:created xsi:type="dcterms:W3CDTF">2021-08-10T12:09:00Z</dcterms:created>
  <dcterms:modified xsi:type="dcterms:W3CDTF">2021-08-27T11:55:00Z</dcterms:modified>
</cp:coreProperties>
</file>